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5972" w14:textId="77777777" w:rsidR="00C460AB" w:rsidRDefault="00C460AB">
      <w:r>
        <w:t>金剛經的智言慧語</w:t>
      </w:r>
      <w:r>
        <w:t>—</w:t>
      </w:r>
      <w:r>
        <w:t xml:space="preserve">末世眾生，必宿具般若根性，我法等執較薄，方能於濁惡世中，得聞此法，超出常流，信解受持也　　（第五二九集）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29-513-0529 </w:t>
      </w:r>
    </w:p>
    <w:p w14:paraId="0A7455DD" w14:textId="77777777" w:rsidR="00C460AB" w:rsidRDefault="00C460AB">
      <w:pPr>
        <w:pStyle w:val="a3"/>
      </w:pPr>
      <w:r>
        <w:t xml:space="preserve">　　【末世眾生，必宿具般若根性，我法等執較薄，方能於濁惡世中，得聞此法，超出常流，信解受持也。】</w:t>
      </w:r>
      <w:r>
        <w:t xml:space="preserve"> </w:t>
      </w:r>
    </w:p>
    <w:p w14:paraId="2C0EC4E5" w14:textId="77777777" w:rsidR="00C460AB" w:rsidRDefault="00C460AB">
      <w:pPr>
        <w:pStyle w:val="a3"/>
      </w:pPr>
      <w:r>
        <w:t xml:space="preserve">　　信解受持的確是不容易，這個地方就說得很清楚了。他的遠因是過去生中，大經上佛告訴我們，無量劫來，過去生中不是一世、兩世、三世、五世所種的善根，那實在講是太薄了，決定沒有這個緣分。我們在《無量壽經》當中，看到阿闍王子那些人，過去生中曾經供養四百億佛。那個億，我們就算最少的數字，印度最小的數字十萬稱億，算它最小的；最大的是萬萬為億，最小的算它十萬為億。過去生中也曾經供養四百億佛，四百個十萬，四千萬尊佛，一尊佛出世是三大阿僧祇劫，四千萬尊佛出世那是多少劫？這個數字在我們看起來太大太大了，而有緣聽佛講《無量壽經》，還不能發心求生淨土。由此可知，我們今天聽到佛講經不願意求生淨土，這是很正常的事，這一點不奇怪，過去生中善根福德沒有那麼厚。如果聽到這個法門，就肯發心求生淨土，他這個善根福德因緣，決定不只供養四百億佛。像這個經上講的，過去生中曾經供養無量無邊諸佛如來，他才有這樣深厚的善根。所以聞法信解受持不是普通人，這是佛在經上都很明白的與我們說明白了。因為他的我執、法執比常人要來得薄，雖有，他容易放下。我們看現在，最近的一些往生的人，我們看到的，我們聽到的，都是些事實，他們的瑞相都非常好。無論是念佛久暫，久是念多年的佛；</w:t>
      </w:r>
      <w:r>
        <w:t>暫，或者是念幾天，或者是臨命終時才遇到善友，勸他念佛求生淨土。他這一聽，他就能放下，他就能接受，在我們看起來念佛不難，往生很容易，為什麼佛在經上常說這個法門叫難信之法？實在說是真難信。你所看到這是少數幾個例子，這是無量劫來的善根福德因緣在這個時候成熟，你看到了。他一聽、一聽勸告，他真能放下，這一放下就走了，這才能在濁惡世中聞得此法。現在是五濁惡世，執著妄想非常嚴重，習氣很深，不是說放下就能放下的。</w:t>
      </w:r>
      <w:r>
        <w:t xml:space="preserve"> </w:t>
      </w:r>
    </w:p>
    <w:p w14:paraId="4DA45537" w14:textId="77777777" w:rsidR="00C460AB" w:rsidRDefault="00C460AB">
      <w:pPr>
        <w:pStyle w:val="a3"/>
      </w:pPr>
      <w:r>
        <w:t xml:space="preserve">　　我們看到這些真正能夠信解、能夠奉行的人，超出常流，常流是普通人、一般人，他超出，所以他能信、能解、能照做。《般若經》上的受持就是身心世界一切放下，這就是受持金剛般若，這個意思同修們一定要記住，一定要明瞭。絕對不是說每天早晚把《金剛經》念一遍就是受持，不是那個，那個不是受持，你只要有一絲一毫放不下，般若的氣分你沒有。不要說世緣要放下，佛法也要放下。對於佛法裡面起了執著，法執。我執跟法執是一個執著，執著的對象不一樣而已，只要有執著，你就是造生死輪迴業。執著就是做在佛法上，弘揚佛法也好，流通佛法也好，都是造六道輪迴業。我相信你們這些同學們，都聽說梁武帝的故事，你們今天在佛法裡面做一點善事，你能跟梁武帝比嗎？梁武帝造四百八十座寺廟，你們造幾個寺廟？梁武帝護持幾十萬出家眾，你護持幾個人？你怎麼能跟梁武帝比。梁武帝遇到達摩祖師，請教他：我這個功德大不大？達摩祖師搖搖頭，並無功德！你們今天做的是功德嗎？沒有功德，這個諸位要知道。</w:t>
      </w:r>
      <w:r>
        <w:t xml:space="preserve"> </w:t>
      </w:r>
    </w:p>
    <w:p w14:paraId="3465F885" w14:textId="77777777" w:rsidR="00C460AB" w:rsidRDefault="00C460AB">
      <w:pPr>
        <w:pStyle w:val="a3"/>
      </w:pPr>
      <w:r>
        <w:t xml:space="preserve">　　什麼叫做功德？清淨心上一絲不掛，那叫功德。你還在著相！著相修行，著相修福，你搞的是輪迴業，這是我跟諸位同修講真話。這些事情要不要做？要做，可以做，不能有心去做。佛法一切講隨緣，沒有叫你攀緣。今天你建個道場，你立個會，到處拉信徒，到處勸人來供養修福，這就是造輪迴業。果報在哪裡？你仔細去看看佛</w:t>
      </w:r>
      <w:r>
        <w:lastRenderedPageBreak/>
        <w:t>教的經論，果報在三途，不在人天。你才曉得佛門當中修福不是容易事情。沒有智慧、沒有福德，修福都修不到，種福、種福田種到石頭上去了，哪裡能開花結果？到最後連種子都爛掉了。不認識什麼叫做福田，不認識！往往自以為是修了很大的福報，而不曉得將來果報在三途。這什麼原因？沒有般若、沒有智慧，愚痴！幹的這個事情。真正修福的人，他真做，他名也不要。譬如印經，他拿了很多錢來印經，後面印個名字？不要，法師，不要名字，沒有人知道，這個福報是真的。他出錢建道場，那個數量也很可觀，要不要名？不要，沒有人知道，這是真正懂得修福的。大乘經自己讀誦，或者來聽經，他體會到了，他明白了，覺悟了，所以他能修真實的福報。唐朝龐居士告訴我們，「好事不如無事」，無事是第一德。</w:t>
      </w:r>
      <w:r>
        <w:t xml:space="preserve"> </w:t>
      </w:r>
    </w:p>
    <w:p w14:paraId="46FBE27A" w14:textId="77777777" w:rsidR="00C460AB" w:rsidRDefault="00C460AB">
      <w:pPr>
        <w:pStyle w:val="a3"/>
      </w:pPr>
      <w:r>
        <w:t xml:space="preserve">　　近代虛雲老和尚到處建廟，古老的廟破壞了，他去修復，有一些地方去興建，建好了找一個有修行的人來，馬上就交給他，他就走了，以後再也不來了，再也不問。這是我們的榜樣，是我們的模範，所謂是「作而無作」。老法師是參禪的，中國禪宗是以《金剛經》為最主要的依據，而《金剛經》上告訴他，「應無所住而生其心」。他到處建廟，生心；建完就交給人，再不過問，無住，他真做到無住生心。在新加坡也有一位很了不起的法師，很多人不知道，我也不能講，講了他要罵我。這個人心地清淨，護持佛法不要名，平常這個法師很窮，沒人供養，可是他拿出來的那些功德，那多嚇人，真正不可思議！這是這一代當中的奇人，希有難得！可是看他其貌不揚，看他沒有什麼了不起，好像不值得人尊敬。那是諸佛菩薩大人所尊敬的，不是凡夫，凡夫瞧不起，佛菩薩尊敬。凡夫尊敬的，佛菩薩那裡沒有名，這是我們必須要知道的。一定要記住，守住經典的教訓，認真努力去修學。這一段是說，為什麼他是第一希有？他已經離相，法相、非法相都離了。這一段是講不著有，不著法相，下面一段經文，不著非法相，不著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B0F0" w14:textId="77777777" w:rsidR="00C460AB" w:rsidRDefault="00C460AB" w:rsidP="00C460AB">
      <w:r>
        <w:separator/>
      </w:r>
    </w:p>
  </w:endnote>
  <w:endnote w:type="continuationSeparator" w:id="0">
    <w:p w14:paraId="50BC5163" w14:textId="77777777" w:rsidR="00C460AB" w:rsidRDefault="00C460AB" w:rsidP="00C46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E6E3" w14:textId="77777777" w:rsidR="00C460AB" w:rsidRDefault="00C460AB" w:rsidP="00C460AB">
      <w:r>
        <w:separator/>
      </w:r>
    </w:p>
  </w:footnote>
  <w:footnote w:type="continuationSeparator" w:id="0">
    <w:p w14:paraId="11A07BCC" w14:textId="77777777" w:rsidR="00C460AB" w:rsidRDefault="00C460AB" w:rsidP="00C46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AB"/>
    <w:rsid w:val="00C460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AA1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0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0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0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0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