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D82D" w14:textId="77777777" w:rsidR="002B603F" w:rsidRDefault="002B603F">
      <w:r>
        <w:t>懂因果就能趨吉避凶</w:t>
      </w:r>
      <w:r>
        <w:t>—</w:t>
      </w:r>
      <w:r>
        <w:t xml:space="preserve">隱惡揚善，遠離口過　　（第十九集）　　</w:t>
      </w:r>
      <w:r>
        <w:t>2012/1/18</w:t>
      </w:r>
      <w:r>
        <w:t xml:space="preserve">　　香港佛陀教育協會（節錄自淨土大經科註</w:t>
      </w:r>
      <w:r>
        <w:t>02-037-0145</w:t>
      </w:r>
      <w:r>
        <w:t>集）　　檔名：</w:t>
      </w:r>
      <w:r>
        <w:t xml:space="preserve">29-514-0019 </w:t>
      </w:r>
    </w:p>
    <w:p w14:paraId="013E2CE3" w14:textId="77777777" w:rsidR="002B603F" w:rsidRDefault="002B603F">
      <w:pPr>
        <w:pStyle w:val="a3"/>
      </w:pPr>
      <w:r>
        <w:t xml:space="preserve">　　無量世，我們知道兩舌是口業裡頭最重的，挑撥是非，鬥亂兩頭，破壞和諧，罪很重。所以地獄裡頭有拔舌地獄。那要看他造的業影響的面多大，破壞一個家庭，業比較小，破壞一個團體、破壞社會、破壞國家，這個罪就大。如果破壞僧團，那是阿鼻地獄罪業，為什麼？破和合僧。所以僧團，你看到怎麼不如法，最好不要放在心上，最好不要批評，為什麼？你批評是你造罪業。他好不好，各有因果，各有報應，我們不可以批評。他做好事應當讚歎，他做得不好的時候不批評、不說他，隱惡揚善。普賢十願裡面「稱讚如來」就這個意思，他有善的，與善法相應的稱讚，與善法不相應的不說。</w:t>
      </w:r>
      <w:r>
        <w:t xml:space="preserve"> </w:t>
      </w:r>
    </w:p>
    <w:p w14:paraId="494CC194" w14:textId="77777777" w:rsidR="002B603F" w:rsidRDefault="002B603F">
      <w:pPr>
        <w:pStyle w:val="a3"/>
      </w:pPr>
      <w:r>
        <w:t xml:space="preserve">　　我們在五十三參裡面看過，甘露火王、勝熱婆羅門、伐蘇蜜多女代表貪瞋痴的，善財童子去參訪，有禮敬，沒有讚歎。禮敬是對相上講的，稱讚他用如來，他沒有說諸佛。你看「禮敬諸佛」，是從相上說，「稱讚如來」，如來從性上說的，與性德相應的讚歎，與性德不相應的不讚歎，這有差別的。善財童子做出來給我們看，我們應當要學習。學習，心裡頭，中國人講良心，自己要曉得，你那個心是良心。把人家髒亂東西放在裡頭，良心就變成別人的垃圾桶，這個大錯特錯。人家有美好的東西放在裡頭可以，能講得過去；別人不善的東西，放在自己心上，錯了，大錯特錯。與你不相干的，你去收集別人的垃圾，收集別人的不善，這哪裡是聰明人？聰明人心地清淨一塵不染，這真聰明，真有智慧。不能幹傻事。可是這個世間幹傻事情很多，到處都可以看到，我們可不能學習，我們要引以為戒。口不出惡言，自行化他，我們自己能夠守住、能夠做到。口四種過我們統統都離，不妄語、不兩舌、不惡口、不綺語，綺語是花言巧語，都是騙人的，決定不能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ABE5A" w14:textId="77777777" w:rsidR="002B603F" w:rsidRDefault="002B603F" w:rsidP="002B603F">
      <w:r>
        <w:separator/>
      </w:r>
    </w:p>
  </w:endnote>
  <w:endnote w:type="continuationSeparator" w:id="0">
    <w:p w14:paraId="601129E9" w14:textId="77777777" w:rsidR="002B603F" w:rsidRDefault="002B603F" w:rsidP="002B6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15A9" w14:textId="77777777" w:rsidR="002B603F" w:rsidRDefault="002B603F" w:rsidP="002B603F">
      <w:r>
        <w:separator/>
      </w:r>
    </w:p>
  </w:footnote>
  <w:footnote w:type="continuationSeparator" w:id="0">
    <w:p w14:paraId="016793E2" w14:textId="77777777" w:rsidR="002B603F" w:rsidRDefault="002B603F" w:rsidP="002B6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3F"/>
    <w:rsid w:val="002B60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F88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