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2EDB" w14:textId="77777777" w:rsidR="00F46847" w:rsidRDefault="00F46847">
      <w:r>
        <w:t>懂因果就能趨吉避凶</w:t>
      </w:r>
      <w:r>
        <w:t>—</w:t>
      </w:r>
      <w:r>
        <w:t xml:space="preserve">用因果救世間　　（第七十六集）　　</w:t>
      </w:r>
      <w:r>
        <w:t>2010/6/16</w:t>
      </w:r>
      <w:r>
        <w:t xml:space="preserve">　　香港佛陀教育協會（節錄自淨土大經解演義</w:t>
      </w:r>
      <w:r>
        <w:t>02-039-0059</w:t>
      </w:r>
      <w:r>
        <w:t>集）　　檔名：</w:t>
      </w:r>
      <w:r>
        <w:t xml:space="preserve">29-514-0076 </w:t>
      </w:r>
    </w:p>
    <w:p w14:paraId="6C1C727B" w14:textId="77777777" w:rsidR="00F46847" w:rsidRDefault="00F46847">
      <w:pPr>
        <w:pStyle w:val="a3"/>
      </w:pPr>
      <w:r>
        <w:t xml:space="preserve">　　中國傳統文化三個根，這是大家都承認的。儒家《弟子規》做到了，還要學道家的《太上感應篇》，為什麼？因果教育。近代佛門的大德印光法師，這在近代中國佛教界大家推崇的、仰慕的、敬重的。他老人家一生特別推崇因果教育，指定三本書，學佛的人不能不讀，這三本書，《了凡四訓》、《感應篇彙編》、《安士全書》，他一生是極力宣揚。為什麼？他告訴人，用周安士的話說，「人人信因果，天下大治之道也；人人不信因果，天下大亂之道也」。大概印光法師在那個時候已經看到現前社會的亂象，用什麼來救？因果，倫理道德救不了。為什麼？懂得倫理道理的人不是沒有，如果境界裡面現出高名、重利，他心就變了，就是禁不起誘惑。但是懂因果的人害怕，眼前這種榮譽、這種利益你得到了，你能享幾天？你來世怎麼辦？想到這個問題，不敢要，不是我應該得到的決定不要，不會去爭名逐利。所以古人講得好，有倫理道德的修養，這個人恥於作惡，他不會作惡，為什麼？他知道羞恥，禮義廉恥的恥，他知道羞恥，他不做；可是懂因果的人不敢作惡，為什麼？後頭有果報。</w:t>
      </w:r>
      <w:r>
        <w:t xml:space="preserve"> </w:t>
      </w:r>
    </w:p>
    <w:p w14:paraId="1A60BA51" w14:textId="77777777" w:rsidR="00F46847" w:rsidRDefault="00F46847">
      <w:pPr>
        <w:pStyle w:val="a3"/>
      </w:pPr>
      <w:r>
        <w:t xml:space="preserve">　　在行門上，學習到十善業道，這才真正達到圓滿。《十善業道》只有十條，諸位要曉得，這十條展開是什麼？《弟子規》裡面的一百一十三樁事情都離不開這十條，《感應篇》裡面字字句句也沒有離開這十條。小乘聖者把它展開，三千威儀，你看十條變成三千條；大乘菩薩更不得了，把它變成八萬四千條，細行。八萬四千條都做到了，是什麼人？佛，大乘教裡面講諸佛如來、法身大士，他們做到了。你在他們起心動念、言語造作找不到一絲毫的缺陷，我們用一句話來形容他，純淨純善。這是學！真這樣學，他才有法喜，學而時習之，他才有悅，喜悅，在大乘教裡面法喜充滿。這種歡喜不是從外頭來的，是從自性裡面透出來的。這個法喜是最殊勝的磁場，對我們人身來講是最好的養分，諺語所謂「人逢喜事精神爽」，一天到晚歡喜，他怎麼會生病？可見得他沒有憂慮、沒有煩惱，現在人講沒有壓力。為什麼？他無我，所以也不會有對立。他心目當中，不但是人物，連山河大地，他心目當中都是諸佛如來、都是清淨法身。托事顯法，事事皆是，法法皆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AA4E" w14:textId="77777777" w:rsidR="00F46847" w:rsidRDefault="00F46847" w:rsidP="00F46847">
      <w:r>
        <w:separator/>
      </w:r>
    </w:p>
  </w:endnote>
  <w:endnote w:type="continuationSeparator" w:id="0">
    <w:p w14:paraId="16DF2299" w14:textId="77777777" w:rsidR="00F46847" w:rsidRDefault="00F46847" w:rsidP="00F46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8A97" w14:textId="77777777" w:rsidR="00F46847" w:rsidRDefault="00F46847" w:rsidP="00F46847">
      <w:r>
        <w:separator/>
      </w:r>
    </w:p>
  </w:footnote>
  <w:footnote w:type="continuationSeparator" w:id="0">
    <w:p w14:paraId="697DC6AC" w14:textId="77777777" w:rsidR="00F46847" w:rsidRDefault="00F46847" w:rsidP="00F46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47"/>
    <w:rsid w:val="00F20C87"/>
    <w:rsid w:val="00F4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C3C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