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DA18" w14:textId="77777777" w:rsidR="001A00D6" w:rsidRDefault="001A00D6">
      <w:r>
        <w:t>懂因果就能趨吉避凶</w:t>
      </w:r>
      <w:r>
        <w:t>—</w:t>
      </w:r>
      <w:r>
        <w:t xml:space="preserve">懂因果你就敢放下　　（第一Ｏ九集）　　</w:t>
      </w:r>
      <w:r>
        <w:t>2010/12/19</w:t>
      </w:r>
      <w:r>
        <w:t xml:space="preserve">　　香港佛陀教育協會（節錄自淨土大經解演義</w:t>
      </w:r>
      <w:r>
        <w:t>02-039-0226</w:t>
      </w:r>
      <w:r>
        <w:t>集）　　檔名：</w:t>
      </w:r>
      <w:r>
        <w:t xml:space="preserve">29-514-0109 </w:t>
      </w:r>
    </w:p>
    <w:p w14:paraId="01FA8CBC" w14:textId="77777777" w:rsidR="001A00D6" w:rsidRDefault="001A00D6">
      <w:pPr>
        <w:pStyle w:val="a3"/>
      </w:pPr>
      <w:r>
        <w:t xml:space="preserve">　　「蓋斷除淫欲，禮佛念佛，發菩提心，一向專念，即趣向大涅槃根本法輪之妙行也。」</w:t>
      </w:r>
      <w:r>
        <w:t xml:space="preserve"> </w:t>
      </w:r>
    </w:p>
    <w:p w14:paraId="03F5BCC0" w14:textId="77777777" w:rsidR="001A00D6" w:rsidRDefault="001A00D6">
      <w:pPr>
        <w:pStyle w:val="a3"/>
      </w:pPr>
      <w:r>
        <w:t xml:space="preserve">　　在這個地方，我們一定要知道，不僅是斷除淫欲，五欲都要斷，盡量的把它減輕。不要刻意的去求，大乘經教裡頭佛常常教我們，隨緣而不攀緣，這就很好，這個意思就非常好。可是為什麼一般人放不下？我要吃飯，我要穿衣，我要住房子，你叫我都放下，我怎麼生活？所以他就放不下。真正能幫助我們放下的，實在講，懂因果你就敢放下。因果入門的書，我覺得《了凡四訓》好，對我們真正有幫助。《了凡四訓》跟我們講一個重要的事實，那就是說「一飲一啄，莫非前定」，不是你能賺到的、你能求到的，不是，命裡注定的。命裡誰注定的？自己注定的。佛講得很好，「欲知前世因，今生受者是」，你要曉得你前世造的是什麼因，這一生所受到的就是，果報；「欲知來世果，今生作者是」。這兩句話要參透了，你就敢學佛了。我真放下了，過去所造的業，這一生當中我承受，如果我沒有做餓死的那個業，我什麼都不求，大概每天還都有吃的，不會餓著的，為什麼？你命裡不是餓死的命；你不是凍死的命，你肯定有衣服穿，你著急這個幹什麼？過去生中做些什麼，這一生當中沒有學佛之前幹些什麼，要知道學佛之後我又幹些什麼，你要把這個問題看清楚、搞明白，你心就定了。沒學佛之前，不錯，是造了些惡業，無知！過去生中的習氣。但</w:t>
      </w:r>
      <w:r>
        <w:t xml:space="preserve">是想想，自己真的還有善根，為什麼？沒害人的念頭。別人傷害我，我還能原諒他，不跟他計較，這都是善根，這對於我們這一生跟來生都有很大的幫助！學佛之後懂得了。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C6313" w14:textId="77777777" w:rsidR="001A00D6" w:rsidRDefault="001A00D6" w:rsidP="001A00D6">
      <w:r>
        <w:separator/>
      </w:r>
    </w:p>
  </w:endnote>
  <w:endnote w:type="continuationSeparator" w:id="0">
    <w:p w14:paraId="72876102" w14:textId="77777777" w:rsidR="001A00D6" w:rsidRDefault="001A00D6" w:rsidP="001A0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3A0E8" w14:textId="77777777" w:rsidR="001A00D6" w:rsidRDefault="001A00D6" w:rsidP="001A00D6">
      <w:r>
        <w:separator/>
      </w:r>
    </w:p>
  </w:footnote>
  <w:footnote w:type="continuationSeparator" w:id="0">
    <w:p w14:paraId="2D12646D" w14:textId="77777777" w:rsidR="001A00D6" w:rsidRDefault="001A00D6" w:rsidP="001A0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D6"/>
    <w:rsid w:val="001A00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2CE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