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F2AF" w14:textId="77777777" w:rsidR="004E2DE7" w:rsidRDefault="004E2DE7">
      <w:r>
        <w:t>懂因果就能趨吉避凶</w:t>
      </w:r>
      <w:r>
        <w:t>—</w:t>
      </w:r>
      <w:r>
        <w:t xml:space="preserve">始終原諒，永不計較　　（第一二一集）　　</w:t>
      </w:r>
      <w:r>
        <w:t>2011/2/19</w:t>
      </w:r>
      <w:r>
        <w:t xml:space="preserve">　　澳洲淨宗學院（節錄自淨土大經解演義</w:t>
      </w:r>
      <w:r>
        <w:t>02-039-0290</w:t>
      </w:r>
      <w:r>
        <w:t>集）　　檔名：</w:t>
      </w:r>
      <w:r>
        <w:t xml:space="preserve">29-514-0121 </w:t>
      </w:r>
    </w:p>
    <w:p w14:paraId="4D550C79" w14:textId="77777777" w:rsidR="004E2DE7" w:rsidRDefault="004E2DE7">
      <w:pPr>
        <w:pStyle w:val="a3"/>
      </w:pPr>
      <w:r>
        <w:t xml:space="preserve">　　「菩薩若有人來起發瞋恚亦忍，不起發瞋恚亦忍，是名菩薩不逼惱忍」。別人逼惱我們，要忍，我們絕不逼惱別人，無論在什麼情況之下，絕不要傷害別人。別人傷害我，原諒他，知道他為什麼會這麼想，為什麼會這麼做，沒有人教他；或者有人教他，他煩惱太重，業障習氣太深，雖有人教，他沒有辦法學。這從哪裡看？要從根本上看，習性的根本，不是本性。他不孝父母，不尊重聖賢，不愛自己，這人可憐，佛經上常講「可憐憫者」。對可憐憫者就不能計較，計較什麼？你太過分了，你怎麼可以對他計較，你要原諒他。他這一生所造的行業，果報在三途。所以真正明白人，有德行、有智慧的人，肯定是憐憫這些眾生，他對我做出嚴重的傷害，我也不會跟他計較。或者說這個人受過教育，學佛學得很好，講經說法聽眾都讚歎，他要發了脾氣，拳打腳踢，這怎麼解釋？雖然他學得很好，他沒有根，他沒有本，那你就得原諒他。學得再好，沒有根、沒有本，境界現前還是容易衝動，還是容易發作。根深蒂固的人，他能承受得了；沒有根，修的時間再久，他再用功，精進不懈，都很難應付外面境界的誘惑。能在外面境界裡頭真正不起心不動念，心如止水，這個人道業幾乎成就了。你要是明白這個道理，了解事實真相，才知道古聖先賢、諸佛菩薩為</w:t>
      </w:r>
      <w:r>
        <w:t>什麼那麼重視根本的修學。</w:t>
      </w:r>
      <w:r>
        <w:t xml:space="preserve"> </w:t>
      </w:r>
    </w:p>
    <w:p w14:paraId="52CC632F" w14:textId="77777777" w:rsidR="004E2DE7" w:rsidRDefault="004E2DE7">
      <w:pPr>
        <w:pStyle w:val="a3"/>
      </w:pPr>
      <w:r>
        <w:t xml:space="preserve">　　我們現在人都認為這個無所謂，《弟子規》學它幹什麼，小孩的事情，學不學沒關係。我們學五戒十善，可是五戒十善學了很多年，一條都沒做到。不是不想學，真想學，就是做不到。這什麼原因？沒根。五戒十善的根本就是《弟子規》跟《感應篇》，而我們對於根本確實沒有意願去修學，好高騖遠。我們眼睛看到頂尖，下頭無根。這個不能不知道，不能不認真的去補習，把這個過失補起來。世出世間一切法，大根大本就是孝敬這兩個字，淨業三福頭兩句「孝養父母，奉事師長」，這兩句話講一百個小時都講不完，釋迦牟尼佛四十九年所說的一切經教，沒離開這兩個字，他做到了，他能說能教，我們沒有做到，教學沒人來跟你學，道理就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E5285" w14:textId="77777777" w:rsidR="004E2DE7" w:rsidRDefault="004E2DE7" w:rsidP="004E2DE7">
      <w:r>
        <w:separator/>
      </w:r>
    </w:p>
  </w:endnote>
  <w:endnote w:type="continuationSeparator" w:id="0">
    <w:p w14:paraId="1F02DD32" w14:textId="77777777" w:rsidR="004E2DE7" w:rsidRDefault="004E2DE7" w:rsidP="004E2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F76E" w14:textId="77777777" w:rsidR="004E2DE7" w:rsidRDefault="004E2DE7" w:rsidP="004E2DE7">
      <w:r>
        <w:separator/>
      </w:r>
    </w:p>
  </w:footnote>
  <w:footnote w:type="continuationSeparator" w:id="0">
    <w:p w14:paraId="5F7AF055" w14:textId="77777777" w:rsidR="004E2DE7" w:rsidRDefault="004E2DE7" w:rsidP="004E2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E7"/>
    <w:rsid w:val="004E2D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D42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