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7F74" w14:textId="77777777" w:rsidR="003E5D0A" w:rsidRDefault="003E5D0A">
      <w:r>
        <w:t>懂因果就能趨吉避凶</w:t>
      </w:r>
      <w:r>
        <w:t>—</w:t>
      </w:r>
      <w:r>
        <w:t xml:space="preserve">禍福都是人為的，不是自然的　　（第一四五集）　　</w:t>
      </w:r>
      <w:r>
        <w:t>2011/7/19</w:t>
      </w:r>
      <w:r>
        <w:t xml:space="preserve">　　香港佛陀教育協會（節錄自淨土大經解演義</w:t>
      </w:r>
      <w:r>
        <w:t>02-039-0502</w:t>
      </w:r>
      <w:r>
        <w:t>集）　　檔名：</w:t>
      </w:r>
      <w:r>
        <w:t xml:space="preserve">29-514-0145 </w:t>
      </w:r>
    </w:p>
    <w:p w14:paraId="630224DF" w14:textId="77777777" w:rsidR="003E5D0A" w:rsidRDefault="003E5D0A">
      <w:pPr>
        <w:pStyle w:val="a3"/>
      </w:pPr>
      <w:r>
        <w:t xml:space="preserve">　　要曉得，這個宇宙是我自性變現的，這個地球是我自性變現的。地球美好，是我美好的念頭變現的，美好的心行變現的；地球上有災難，是我惡念變現的，是我惡的行為變現的。要想把地球上災難化解，我念頭一轉就化解了，科學做不到，念頭做得到，誰相信？最近這三十年來的科學家他們相信了。我們看到許多報告，這意念的能量不可思議，尤其是集體意念的能量。它叫集體意念的能量，在佛法叫共業。我說共業大家就明白了。個人的能量叫別業，集體叫共業。今天這個世間共業所感，這個共業是不善的共業。你把這些道理、事實真相統統搞清楚，你就知道用什麼方法來救苦救難，有什麼方法把我們目前災難完全化解，你真懂，而且真有效。古人所說的福人居福地，有福的人他住在這個地方，這個地方沒有災難。為什麼？他的意念轉這個地區的境界，這個地區縱然有造惡的人，他造的惡沒有他的福大。他造的惡超過他的福，他就要受災難；如果他的福大，造的這個罪業不超過他的福報，他的福報能鎮在這一方，造作罪業的人果報不會現前。他走了以後就會現前；他沒有走的時候，他住在那裡就不會現前，叫福人居福地，我們相信這句話。</w:t>
      </w:r>
      <w:r>
        <w:t xml:space="preserve"> </w:t>
      </w:r>
    </w:p>
    <w:p w14:paraId="644D6926" w14:textId="77777777" w:rsidR="003E5D0A" w:rsidRDefault="003E5D0A">
      <w:pPr>
        <w:pStyle w:val="a3"/>
      </w:pPr>
      <w:r>
        <w:t xml:space="preserve">　　禍福都是人為的，不是自然的。自然是最美好的，所以現在我們稱為自然災害，是有冤枉了自然，我們對自然太不了解了，認為自然災害。自然決定沒災害，自然有災害那還得了嗎？所以不自然，是人為的，這個一定要懂。中國幾千年來的教育隨順自然，所以這個地區福地，長治久安，居住在這個地方都受聖賢教誨。兩千年來正如同湯恩比所說的，古時候中國人心量大，能包容異族文化，這人家讚歎。異族就是佛教的，佛教從印度傳來，不是本土的，能夠包容、能夠歡喜學習。他下面說，佛教文化豐富了中國本土文化，所以這兩個文化交融，兩面都得了好處。中國本土文化提升了，佛教在中國文化也提升了，相得益彰。所以皆是眾生清淨心中之所具，就是惠能大師講的「何期自性本自具足」，這都是說盡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05E2" w14:textId="77777777" w:rsidR="003E5D0A" w:rsidRDefault="003E5D0A" w:rsidP="003E5D0A">
      <w:r>
        <w:separator/>
      </w:r>
    </w:p>
  </w:endnote>
  <w:endnote w:type="continuationSeparator" w:id="0">
    <w:p w14:paraId="4A71DE01" w14:textId="77777777" w:rsidR="003E5D0A" w:rsidRDefault="003E5D0A" w:rsidP="003E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419E" w14:textId="77777777" w:rsidR="003E5D0A" w:rsidRDefault="003E5D0A" w:rsidP="003E5D0A">
      <w:r>
        <w:separator/>
      </w:r>
    </w:p>
  </w:footnote>
  <w:footnote w:type="continuationSeparator" w:id="0">
    <w:p w14:paraId="6EFE8FBA" w14:textId="77777777" w:rsidR="003E5D0A" w:rsidRDefault="003E5D0A" w:rsidP="003E5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0A"/>
    <w:rsid w:val="003E5D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DAE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5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5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5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5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