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BC55" w14:textId="77777777" w:rsidR="00DB12ED" w:rsidRDefault="00DB12ED">
      <w:r>
        <w:t>懂因果就能趨吉避凶</w:t>
      </w:r>
      <w:r>
        <w:t>—</w:t>
      </w:r>
      <w:r>
        <w:t xml:space="preserve">因果不虛　　（第一四八集）　　</w:t>
      </w:r>
      <w:r>
        <w:t>2011/7/22</w:t>
      </w:r>
      <w:r>
        <w:t xml:space="preserve">　　香港佛陀教育協會（節錄自淨土大經解演義</w:t>
      </w:r>
      <w:r>
        <w:t>02-039-0508</w:t>
      </w:r>
      <w:r>
        <w:t>集）　　檔名：</w:t>
      </w:r>
      <w:r>
        <w:t xml:space="preserve">29-514-0148 </w:t>
      </w:r>
    </w:p>
    <w:p w14:paraId="2B66C798" w14:textId="77777777" w:rsidR="00DB12ED" w:rsidRDefault="00DB12ED">
      <w:pPr>
        <w:pStyle w:val="a3"/>
      </w:pPr>
      <w:r>
        <w:t xml:space="preserve">　　下面括弧裡頭說，「如琉璃王為報宿怨，欲盡殺釋種」。經上有這個故事，琉璃王，釋迦牟尼佛在世，他是大國王，他跟釋迦族有冤仇。怨是過去生中結的，這在《釋迦譜》裡頭都有記載，不是前世，也不是再前世，這是過去很長很長的時間。琉璃王這一群，那個時候他們在畜生道，在一個魚池裡面，他們是一群魚，琉璃王就是這個魚裡面的頭目。釋迦族在那個時候是些漁夫，捕魚的人，有一次他們想把這個池塘的魚統統打撈起來，把池塘的水放掉，魚全部殺掉。這一群被殺的這些魚怨恨不滅，生生世世記著要報仇。釋迦牟尼佛出世了，生在釋迦這一族；那些魚呢？魚現在變成人，琉璃王這一族。無量劫前的怨恨，小小的一點事情一挑撥就變成戰爭，釋迦佛想阻止這個戰爭，阻止不住，如是因，如是業，如是果，如是報，救不了，怎麼勸不聽、不接受，一定要把這族滅掉。最後釋迦佛就勸大家逃亡，所以他的家族逃到西藏，在後藏，以後就沒有回去，就在西藏落戶，所以釋迦族也算是中國人。這樁事情，當年章嘉大師告訴我的，釋迦族整個這一族逃到後藏。這是用這些事來告訴我們，冤家宜解不宜結，什麼樣的怨恨都要把它看破，要化解，決定不能結怨，結怨後果太悽慘，生生世世多少世都不能夠解決，愈結愈深，連佛菩薩都無可奈何。</w:t>
      </w:r>
      <w:r>
        <w:t xml:space="preserve"> </w:t>
      </w:r>
    </w:p>
    <w:p w14:paraId="2103ED55" w14:textId="77777777" w:rsidR="00DB12ED" w:rsidRDefault="00DB12ED">
      <w:pPr>
        <w:pStyle w:val="a3"/>
      </w:pPr>
      <w:r>
        <w:t xml:space="preserve">　　所以這裡講，「指世間冤報之事，互為禍害」。「既造業因，必結惡果，報應雖不立即顯現於當時」，故云『雖不臨時』。「但因果不虛，決當報償於後世」。這個事情麻煩，果報能夠降臨在當時都是屬於輕的，愈積愈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D0856" w14:textId="77777777" w:rsidR="00DB12ED" w:rsidRDefault="00DB12ED" w:rsidP="00DB12ED">
      <w:r>
        <w:separator/>
      </w:r>
    </w:p>
  </w:endnote>
  <w:endnote w:type="continuationSeparator" w:id="0">
    <w:p w14:paraId="0111246D" w14:textId="77777777" w:rsidR="00DB12ED" w:rsidRDefault="00DB12ED" w:rsidP="00DB1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DFFCA" w14:textId="77777777" w:rsidR="00DB12ED" w:rsidRDefault="00DB12ED" w:rsidP="00DB12ED">
      <w:r>
        <w:separator/>
      </w:r>
    </w:p>
  </w:footnote>
  <w:footnote w:type="continuationSeparator" w:id="0">
    <w:p w14:paraId="0A905D38" w14:textId="77777777" w:rsidR="00DB12ED" w:rsidRDefault="00DB12ED" w:rsidP="00DB1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ED"/>
    <w:rsid w:val="00DB12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C48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2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2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2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2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