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2C47" w14:textId="77777777" w:rsidR="001721F8" w:rsidRDefault="001721F8">
      <w:r>
        <w:t>懂因果就能趨吉避凶</w:t>
      </w:r>
      <w:r>
        <w:t>—</w:t>
      </w:r>
      <w:r>
        <w:t xml:space="preserve">真正相信業因果報，連惡念都不會生　　（第一七一集）　　</w:t>
      </w:r>
      <w:r>
        <w:t>2011/8/11</w:t>
      </w:r>
      <w:r>
        <w:t xml:space="preserve">　　香港佛陀教育協會（節錄自淨土大經解演義</w:t>
      </w:r>
      <w:r>
        <w:t>02-039-0534</w:t>
      </w:r>
      <w:r>
        <w:t>集）　　檔名：</w:t>
      </w:r>
      <w:r>
        <w:t xml:space="preserve">29-514-0171 </w:t>
      </w:r>
    </w:p>
    <w:p w14:paraId="7FB87356" w14:textId="77777777" w:rsidR="001721F8" w:rsidRDefault="001721F8">
      <w:pPr>
        <w:pStyle w:val="a3"/>
      </w:pPr>
      <w:r>
        <w:t xml:space="preserve">　　『或於壽終，入三惡道』，「乃後世之果報，明五燒也」。造作惡業肯定到惡道受報。惡道從哪裡來的？現在我們清楚明瞭，惡道是自己惡業變現出來的，自然變現的，餓鬼、地獄、畜生沒有人設計，沒有人去建造，全是業報現前。我們自己冷靜去思惟觀察，我們今天在這個世間，一生當中所有的機遇也是自己業報所感的，同樣的沒有人在策劃，沒有人在設計，沒有人在製造。你要看清楚、想明白了，經上講的話我們就五體投地，真的佩服；不但不再懷疑，完全接受、完全相信，佛說的話真不錯，經上所講的全是事實真相。『愁痛』，這是現在的，「憂悲苦痛」，我們現前所受的，憂慮、悲傷、苦痛。『酷毒』，那是死了以後三途果報，「極慘之苦痛」。『燋』就是被火燒，『然』是燃燒，這都是講地獄果報。「《會疏》曰：燋然，獄火劇貌」，形容地獄裡的獄火，「自者，自業所感也。故云自相燋然」。</w:t>
      </w:r>
      <w:r>
        <w:t xml:space="preserve"> </w:t>
      </w:r>
    </w:p>
    <w:p w14:paraId="622D9863" w14:textId="77777777" w:rsidR="001721F8" w:rsidRDefault="001721F8">
      <w:pPr>
        <w:pStyle w:val="a3"/>
      </w:pPr>
      <w:r>
        <w:t xml:space="preserve">　　所以人不能造惡，造惡沒有好處。那人為什麼喜歡？經典上有個比喻，比喻作「刀頭舐蜜」，鋒利的一把刀，刀上塗些蜂蜜，愚痴之人，這有甜頭，甜頭嘗到，舌頭也被割掉了。這個比喻是什麼？眼前一點點的小利就誘惑他，他就敢造罪業，起什麼？起殺盜淫妄的心。他要造業，他想獲得這一點小利，敢做殺盜淫妄。利他得到了，說實在話，是他命裡所有的；命裡沒有，你造這個罪業你享受不到這個利益，因為你命裡沒有。得到這點小利是你命裡有的，你又何苦！你不造這個業，遲幾天得到，你造這個業是提早幾天得到，這何苦！所以因果報應它有個緣，無論是善是惡，緣成熟了果報就現前。聰明的人有耐心，緣不成熟不動，等待機緣成熟，自然就有豐收。像我們種稻米、種蔬菜，一定要緣成熟它長成了，你才去收割它；還沒有長成，還沒有熟透，你去收割是生的，不能吃，吃了要生病的。所以得有忍耐，有耐心去等待，不貪小便宜。不義之財決定不能取，你要是取了，後面肯定有災難。現前真的有憂悲苦痛，死了之後有三途惡報，那何苦來？真正了解、真正明白，他才真正相信業因果報絲毫不爽，決定不敢作惡；不敢作惡不是說惡不敢作，他連惡念都不會生，這真正有智慧，真正聰明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EDF7" w14:textId="77777777" w:rsidR="001721F8" w:rsidRDefault="001721F8" w:rsidP="001721F8">
      <w:r>
        <w:separator/>
      </w:r>
    </w:p>
  </w:endnote>
  <w:endnote w:type="continuationSeparator" w:id="0">
    <w:p w14:paraId="6AE5EA81" w14:textId="77777777" w:rsidR="001721F8" w:rsidRDefault="001721F8" w:rsidP="00172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9A79" w14:textId="77777777" w:rsidR="001721F8" w:rsidRDefault="001721F8" w:rsidP="001721F8">
      <w:r>
        <w:separator/>
      </w:r>
    </w:p>
  </w:footnote>
  <w:footnote w:type="continuationSeparator" w:id="0">
    <w:p w14:paraId="279E343F" w14:textId="77777777" w:rsidR="001721F8" w:rsidRDefault="001721F8" w:rsidP="00172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F8"/>
    <w:rsid w:val="001721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D79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