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9C6B" w14:textId="77777777" w:rsidR="00430797" w:rsidRDefault="00430797">
      <w:r>
        <w:t>懂因果就能趨吉避凶</w:t>
      </w:r>
      <w:r>
        <w:t>—</w:t>
      </w:r>
      <w:r>
        <w:t xml:space="preserve">起念造惡的因緣　　（第一九七集）　　</w:t>
      </w:r>
      <w:r>
        <w:t>2013/2/11</w:t>
      </w:r>
      <w:r>
        <w:t xml:space="preserve">　　香港佛陀教育協會（節錄自二零一二淨土大經科註</w:t>
      </w:r>
      <w:r>
        <w:t>02-040-0174</w:t>
      </w:r>
      <w:r>
        <w:t>集）　　檔名：</w:t>
      </w:r>
      <w:r>
        <w:t xml:space="preserve">29-514-0197 </w:t>
      </w:r>
    </w:p>
    <w:p w14:paraId="1949B00E" w14:textId="77777777" w:rsidR="00430797" w:rsidRDefault="00430797">
      <w:pPr>
        <w:pStyle w:val="a3"/>
      </w:pPr>
      <w:r>
        <w:t xml:space="preserve">　　「三惡道，又名三惡趣，又名三塗。為一切眾生造惡所生之處，故名惡道。地獄、餓鬼、畜生三道，名三惡道。《法華經．方便品》曰：以諸欲因緣，墜墮三惡道」。念老解釋說，「蓋謂眾生如內有貪求欲樂之念，是為因；外面攀緣欲境，是為緣；以此因緣，起念造惡，終墮惡道」。《法華經》裡面說得很好。諸欲，經論通常講五欲，五種欲望，財色名食睡；也常常看到七情五欲，七情是喜怒哀樂愛惡，後頭有個欲，那個欲就是五欲。這都是眾生無始劫以來能緣的心，這是因，外面是境界，境界就是財色名食睡這個五種，這是緣。起心動念緣五欲七情，七情五欲，這個因緣就會起念造惡。惡有大小輕重之別，這個墮惡道，受苦有輕重差別不同，惡業裡面最嚴重的是五逆十惡。在過去，五逆十惡業有，自古以來有，不多，很少見。現在五逆十惡幾乎到處都可以看得到，感召來的是苦果，現前所受的苦，身心不安，人多煩躁。這是今天社會普遍的現象，倫理道德這些規範沒有了。中國維繫幾千年的傳統，五倫、五常、四維、八德現在全都沒有了。果報現在面前，我們要有高度的警覺心，眼前是花報，來世是果報，果報就在三途。花報不善，果報就可想而知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5DCC2" w14:textId="77777777" w:rsidR="00430797" w:rsidRDefault="00430797" w:rsidP="00430797">
      <w:r>
        <w:separator/>
      </w:r>
    </w:p>
  </w:endnote>
  <w:endnote w:type="continuationSeparator" w:id="0">
    <w:p w14:paraId="667888EB" w14:textId="77777777" w:rsidR="00430797" w:rsidRDefault="00430797" w:rsidP="00430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091E" w14:textId="77777777" w:rsidR="00430797" w:rsidRDefault="00430797" w:rsidP="00430797">
      <w:r>
        <w:separator/>
      </w:r>
    </w:p>
  </w:footnote>
  <w:footnote w:type="continuationSeparator" w:id="0">
    <w:p w14:paraId="25236A7D" w14:textId="77777777" w:rsidR="00430797" w:rsidRDefault="00430797" w:rsidP="00430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97"/>
    <w:rsid w:val="004307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A24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