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5AE4A" w14:textId="77777777" w:rsidR="00127B2C" w:rsidRDefault="00127B2C">
      <w:r>
        <w:t>懂因果就能趨吉避凶</w:t>
      </w:r>
      <w:r>
        <w:t>—</w:t>
      </w:r>
      <w:r>
        <w:t xml:space="preserve">所有果報都是我們業感的　　（第二二Ｏ集）　　</w:t>
      </w:r>
      <w:r>
        <w:t>2013/6/4</w:t>
      </w:r>
      <w:r>
        <w:t xml:space="preserve">　　斯里蘭卡彌陀精舍（節錄自二零一二淨土大經科註</w:t>
      </w:r>
      <w:r>
        <w:t>02-040-0311</w:t>
      </w:r>
      <w:r>
        <w:t>集）　　檔名：</w:t>
      </w:r>
      <w:r>
        <w:t xml:space="preserve">29-514-0220 </w:t>
      </w:r>
    </w:p>
    <w:p w14:paraId="394C321D" w14:textId="77777777" w:rsidR="00127B2C" w:rsidRDefault="00127B2C">
      <w:pPr>
        <w:pStyle w:val="a3"/>
      </w:pPr>
      <w:r>
        <w:t xml:space="preserve">　　我們看念老的註解，『法藏成佛，號阿彌陀』。這是「上明國土」，上是前面一科「現依報」，是說明極樂世界的環境。「土為身之所依，故名依報。佛是能依，故名正報」，能依的是人，所依的是環境。「佛有三身」，佛有三身，也說明每個人都有三身，每一個眾生都有三身。但是佛的三身現前得受用，眾生因為迷了，迷了變成眾生，雖有三身，不得其用。但是三身並沒有失掉，只是有障礙而已，這個障礙就叫煩惱，叫業障。業是一切善、不善的造作，造作就叫做業。正在造作的時候，古人稱它為事，造作完畢之後就稱為業。所以事業，前面一個字是因，後面是果，業是果，事是因，業是果。事有染淨、有善惡，果報千差萬別。所有無量的這些果報，佛告訴我們，全是自作自受，決定沒有一樁事情是沒有因而得的果，決定是有因有果。所以我們對於一切果報都要承受，無論是善、是惡，佛法常講的善緣惡緣、順境逆境，都要自己承擔責任，不可以怨天尤人，這個跟別人沒有關係。怨天尤人，這就罪加一等，受的苦就更多，時間就更長。</w:t>
      </w:r>
      <w:r>
        <w:t xml:space="preserve"> </w:t>
      </w:r>
    </w:p>
    <w:p w14:paraId="3B2B454C" w14:textId="77777777" w:rsidR="00127B2C" w:rsidRDefault="00127B2C">
      <w:pPr>
        <w:pStyle w:val="a3"/>
      </w:pPr>
      <w:r>
        <w:t xml:space="preserve">　　所有果報既然都是我們業感的，所以佛說，如果你能把業障懺悔、懺除，業沒有了，你就成佛了。道理真的是很簡單，要做起來很麻煩，很不容易，放下習氣，放下染污，放下一切造作，每一樁事情都非常非常之難。在佛法裡面，只有靠淨宗我們能得度，如果沒有這個法門，我們永遠沒有辦法脫離輪迴。所以這個法門是佛法法寶，寶中之寶，法寶裡頭第一法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5DE0D" w14:textId="77777777" w:rsidR="00127B2C" w:rsidRDefault="00127B2C" w:rsidP="00127B2C">
      <w:r>
        <w:separator/>
      </w:r>
    </w:p>
  </w:endnote>
  <w:endnote w:type="continuationSeparator" w:id="0">
    <w:p w14:paraId="27DC6312" w14:textId="77777777" w:rsidR="00127B2C" w:rsidRDefault="00127B2C" w:rsidP="00127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B8DEC" w14:textId="77777777" w:rsidR="00127B2C" w:rsidRDefault="00127B2C" w:rsidP="00127B2C">
      <w:r>
        <w:separator/>
      </w:r>
    </w:p>
  </w:footnote>
  <w:footnote w:type="continuationSeparator" w:id="0">
    <w:p w14:paraId="23623B6D" w14:textId="77777777" w:rsidR="00127B2C" w:rsidRDefault="00127B2C" w:rsidP="00127B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B2C"/>
    <w:rsid w:val="00127B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52884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7B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7B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7B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7B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