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26CF" w14:textId="77777777" w:rsidR="006B2F82" w:rsidRDefault="006B2F82">
      <w:r>
        <w:t>懂因果就能趨吉避凶</w:t>
      </w:r>
      <w:r>
        <w:t>—</w:t>
      </w:r>
      <w:r>
        <w:t xml:space="preserve">深信因果是信什麼因果　　（第二三二集）　　</w:t>
      </w:r>
      <w:r>
        <w:t>2009/9/30</w:t>
      </w:r>
      <w:r>
        <w:t xml:space="preserve">　　台灣高雄（節錄自大方廣佛華嚴經</w:t>
      </w:r>
      <w:r>
        <w:t>12-017-2048</w:t>
      </w:r>
      <w:r>
        <w:t>集）　　檔名：</w:t>
      </w:r>
      <w:r>
        <w:t xml:space="preserve">29-514-0232 </w:t>
      </w:r>
    </w:p>
    <w:p w14:paraId="14C4A938" w14:textId="77777777" w:rsidR="006B2F82" w:rsidRDefault="006B2F82">
      <w:pPr>
        <w:pStyle w:val="a3"/>
      </w:pPr>
      <w:r>
        <w:t xml:space="preserve">　　彌勒菩薩告訴我們，一秒鐘有多少個念頭？有一千二百八十兆的念頭。所以我們能肯定，我們這一生當中，一念清淨的時候決定有，但是第二念就迷惑了，一念清淨還來不及感受，第二念就迷了。問題在此地，保不住，保住就好了，所以要練習。</w:t>
      </w:r>
      <w:r>
        <w:t xml:space="preserve"> </w:t>
      </w:r>
    </w:p>
    <w:p w14:paraId="579C90E6" w14:textId="77777777" w:rsidR="006B2F82" w:rsidRDefault="006B2F82">
      <w:pPr>
        <w:pStyle w:val="a3"/>
      </w:pPr>
      <w:r>
        <w:t xml:space="preserve">　　怎麼個練習法？世尊在淨業三福裡面告訴我們深信因果，這一句話重要。深信因果講的是什麼因果？我曾經跟同學們作過報告，年輕的時候初學，對於這一句很迷惑，幾個星期都想不出來。因為三福是三條，第一條是人天法，我們容易懂，第二條是小乘，第三條是大乘。如果深信因果放在第一條，甚至於放在第二條，我們都不疑惑，放在第三條，第三條是菩薩，菩薩還不相信因果嗎？這個問題就嚴重了。我們人都相信因果，都能深信因果，不敢造惡業，這個話怎麼對菩薩講？肯定不是一般因果，我那個時候就有這麼一個疑問。那不是普通因果，是什麼因果？忽然想到大乘教裡頭講的，「念佛成佛」，念佛是因，成佛是果，這個因果真的很多菩薩都不知道，所以淨業三福第三條深信因果，肯定是講這個意思，念佛是因，成佛是果。所以一念相應一念佛，念念相應念念佛，我們要怎樣在這一生當中趕緊養成念佛的習慣，絕不能有貪瞋痴慢的習慣。有貪瞋痴慢的習慣不好了，為什麼？那個感餓鬼、畜生、地獄，那個感三惡道，這個習慣不好。那麼再說善業好嗎？善業好，善業感三善道，出不了六道輪迴。所以佛勸我們修淨業，淨業不在六道，六道不清淨，那一般講淨業在什麼地方？淨業在四聖法界，聲聞、緣覺、菩薩、佛，那叫淨土。實際上是方</w:t>
      </w:r>
      <w:r>
        <w:t xml:space="preserve">便有餘土，不是真的淨土，真的淨土是實報土，那是真的淨土。實報土不但是分別執著放下了，連起心動念也放下了，這非常不容易。我們用念佛這個方法，這是八萬四千法門，我們用這個方法，用這個方法念到理一心不亂，就生實報莊嚴土，也就是說，我們念佛功夫真正念到不起心、不動念，跟這個經上所講的境界就相同、相應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BE204" w14:textId="77777777" w:rsidR="006B2F82" w:rsidRDefault="006B2F82" w:rsidP="006B2F82">
      <w:r>
        <w:separator/>
      </w:r>
    </w:p>
  </w:endnote>
  <w:endnote w:type="continuationSeparator" w:id="0">
    <w:p w14:paraId="68555683" w14:textId="77777777" w:rsidR="006B2F82" w:rsidRDefault="006B2F82" w:rsidP="006B2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E7274" w14:textId="77777777" w:rsidR="006B2F82" w:rsidRDefault="006B2F82" w:rsidP="006B2F82">
      <w:r>
        <w:separator/>
      </w:r>
    </w:p>
  </w:footnote>
  <w:footnote w:type="continuationSeparator" w:id="0">
    <w:p w14:paraId="40F02B09" w14:textId="77777777" w:rsidR="006B2F82" w:rsidRDefault="006B2F82" w:rsidP="006B2F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F82"/>
    <w:rsid w:val="006B2F8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A5ADB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2F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2F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2F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2F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