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C8EC" w14:textId="77777777" w:rsidR="0023183E" w:rsidRDefault="0023183E">
      <w:r>
        <w:t>懂因果就能趨吉避凶</w:t>
      </w:r>
      <w:r>
        <w:t>—</w:t>
      </w:r>
      <w:r>
        <w:t xml:space="preserve">因緣果報真的很可怕　　（第二三四集）　　</w:t>
      </w:r>
      <w:r>
        <w:t>2009/11/14</w:t>
      </w:r>
      <w:r>
        <w:t xml:space="preserve">　　台灣高雄（節錄自大方廣佛華嚴經</w:t>
      </w:r>
      <w:r>
        <w:t>12-017-2062</w:t>
      </w:r>
      <w:r>
        <w:t>集）　　檔名：</w:t>
      </w:r>
      <w:r>
        <w:t xml:space="preserve">29-514-0234 </w:t>
      </w:r>
    </w:p>
    <w:p w14:paraId="0B6FBA1D" w14:textId="77777777" w:rsidR="0023183E" w:rsidRDefault="0023183E">
      <w:pPr>
        <w:pStyle w:val="a3"/>
      </w:pPr>
      <w:r>
        <w:t xml:space="preserve">　　佛有方便，把繁雜的這些東西把它歸納，歸納到五條，五個項目全部都包括了，這個就好辦了。見解錯誤裡面的五條，第一個是身見，執著這個身是我，這頭一個錯了。身不是我，身是什麼東西？身是我所有的，它不是我，就像衣服一樣，衣服是我所有的，衣服不是我，衣服壞了換一件，身體是我所有的，這身體不太好用了，用了八十年不好用了，換一個。要知道，人沒有生死，這是真的。所以學佛頭一個，我們所得到的，知道人沒有死，只是換身體而已。那換身體我們就要留意了，希望換身體愈換愈好，心善行善，那你就愈換愈好；如果心不善、行為不善，就愈換愈差，十法界裡面，通常講六道加上四聖十法界，十法界的身跟我們的身是一樣的，都不是自己，我們可以常常換身體，自古以來到現在不知道換了多少身體。所以首先要破身見，身不是我，千萬不要為身去造業，那就錯了。你說吃眾生肉，這個造業！哪個不貪吃，哪個不好吃？我在沒有學佛的時候也貪吃，而且在抗戰期間當中，我父親是個軍官，中級軍官，在一個軍司令部裡面管武器彈藥，管這個東西，軍械官，所以槍支彈藥就非常方便了。拿來幹什麼？打獵，每天都出去打獵。抗戰期間生活非常清苦，打獵就是天天有肉吃，天天不間斷。我跟他打了三年，那個時候我多大年歲</w:t>
      </w:r>
      <w:r>
        <w:t>？十六、十七、十八這三年，所以在那個時候我的槍法很好，幾乎都是百發百中，天天打。殺害多少眾生，這些眾生現在在找我，冤親債主！現在才曉得懺悔，做錯了。最可惡的是我們用炸藥去炸魚，池塘，河水，我們那個時候用</w:t>
      </w:r>
      <w:r>
        <w:t>TNT</w:t>
      </w:r>
      <w:r>
        <w:t xml:space="preserve">的炸藥，這個炸藥放在水裡面一爆炸，水裡面的魚全部翻出來了，翻上來了，那在水面上撈，至少可以撈到幾百斤，幹這種事情。我學佛了，有沒有果報？細心想想，有。我這一生無論在什麼地方居住，時間都不長久，這是什麼？破壞鳥獸的窩穴、巢穴，這個果報，有因必有果。還好遇到佛法，二十六歲就知道了，知道從前這個罪業，所以我那麼快就選擇素食，不再跟眾生結冤仇了。而且放生，放生是贖罪，以前年輕真的不知道！可是我父親遭受了果報，那是我親眼看到的。他臨終的時候，就是現在所講的精神病，病魔非常苦，折磨他。死的時候我在他身邊，那個時候因為不信仰宗教，無可奈何。學了佛之後，讀了《地藏經》，跟《地藏經》上講打獵殺害眾生那個果報完全相同，我相信了，這樁事情我看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F0060" w14:textId="77777777" w:rsidR="0023183E" w:rsidRDefault="0023183E" w:rsidP="0023183E">
      <w:r>
        <w:separator/>
      </w:r>
    </w:p>
  </w:endnote>
  <w:endnote w:type="continuationSeparator" w:id="0">
    <w:p w14:paraId="75B774D4" w14:textId="77777777" w:rsidR="0023183E" w:rsidRDefault="0023183E" w:rsidP="00231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0CCF6" w14:textId="77777777" w:rsidR="0023183E" w:rsidRDefault="0023183E" w:rsidP="0023183E">
      <w:r>
        <w:separator/>
      </w:r>
    </w:p>
  </w:footnote>
  <w:footnote w:type="continuationSeparator" w:id="0">
    <w:p w14:paraId="0B595637" w14:textId="77777777" w:rsidR="0023183E" w:rsidRDefault="0023183E" w:rsidP="002318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3E"/>
    <w:rsid w:val="002318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26B9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18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18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18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18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