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10AF" w14:textId="77777777" w:rsidR="003B2D70" w:rsidRDefault="003B2D70">
      <w:r>
        <w:t>懂因果就能趨吉避凶</w:t>
      </w:r>
      <w:r>
        <w:t>—</w:t>
      </w:r>
      <w:r>
        <w:t xml:space="preserve">斷惡修善裡有很深的因果教育　　（第二四六集）　　</w:t>
      </w:r>
      <w:r>
        <w:t>2009/8/3</w:t>
      </w:r>
      <w:r>
        <w:t xml:space="preserve">　　台灣（節錄自修華嚴奧旨妄盡還源觀</w:t>
      </w:r>
      <w:r>
        <w:t>12-047-0069</w:t>
      </w:r>
      <w:r>
        <w:t>集）　　檔名：</w:t>
      </w:r>
      <w:r>
        <w:t xml:space="preserve">29-514-0246 </w:t>
      </w:r>
    </w:p>
    <w:p w14:paraId="3750152B" w14:textId="77777777" w:rsidR="003B2D70" w:rsidRDefault="003B2D70">
      <w:pPr>
        <w:pStyle w:val="a3"/>
      </w:pPr>
      <w:r>
        <w:t xml:space="preserve">　　斷惡修善裡有很深的因果教育，善因一定得善果，惡因一定感惡報。在現前這個社會，古代也有，有些人看到行善的人生活過得很苦，作惡的人非常富有，還有很高的地位，所以對於因果就懷疑，這個人行善是好人，為什麼沒得好報？那個人是惡人，為什麼做那麼大的官，發那麼大的財？往往對因果就不相信，這是世俗人情難免的。佛菩薩清楚，他是迷於一時，不知道人有過去世、現在世，還有未來世，因果通三世。經上常講「欲知前世因」，我要想像我前世是幹什麼的，造了什麼因？佛說，「今生受者是」，你這一生所遭受的，是你前世所造的因。我要想知道我來世的果報怎麼樣？經上說「欲知來世果，今生作者是」，你這一生所作所為，今生造因，來生受果報，業因果報，絲毫不爽。</w:t>
      </w:r>
      <w:r>
        <w:t xml:space="preserve"> </w:t>
      </w:r>
    </w:p>
    <w:p w14:paraId="1648D563" w14:textId="77777777" w:rsidR="003B2D70" w:rsidRDefault="003B2D70">
      <w:pPr>
        <w:pStyle w:val="a3"/>
      </w:pPr>
      <w:r>
        <w:t xml:space="preserve">　　印祖特別強調，世出世法，宇宙之間，理是心性，事是因果，因果主宰了事的變化。這個道理深，不但中國老祖宗常說，佛經裡面也說了很多，這個世界所有宗教的典籍全都說到了，沒有一個宗教經典不講因果的，這是真理。諺語所謂的「英雄所見，大略相同」，這是真理。菩薩教化眾生，一定要做出來給大家看，這就是菩薩大慈大悲的顯示。他要是不做出來，大慈大悲不就落空了？只有言說，沒有實質。做出來，真做出樣子來給我們看，我們明白了，把心性、因果表演出來，給一切眾生看，目的在哪裡？幫助一切眾生覺悟。人人真正明白因果的道理與事實真相，他起心動念、言語造作自然就有收斂，無需要人教。前清周安士居士有兩句話說得好，在《安士全書》裡，他說「人人信因果，天下大治之道也；人人不信因果，天下大亂之道也」，你看因果重不重要？關係整個社會、整個世界的安危。今天全世界社會動亂、不安，什麼原因？不信因果，沒有人講因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CCA2" w14:textId="77777777" w:rsidR="003B2D70" w:rsidRDefault="003B2D70" w:rsidP="003B2D70">
      <w:r>
        <w:separator/>
      </w:r>
    </w:p>
  </w:endnote>
  <w:endnote w:type="continuationSeparator" w:id="0">
    <w:p w14:paraId="1B8ED730" w14:textId="77777777" w:rsidR="003B2D70" w:rsidRDefault="003B2D70" w:rsidP="003B2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BED33" w14:textId="77777777" w:rsidR="003B2D70" w:rsidRDefault="003B2D70" w:rsidP="003B2D70">
      <w:r>
        <w:separator/>
      </w:r>
    </w:p>
  </w:footnote>
  <w:footnote w:type="continuationSeparator" w:id="0">
    <w:p w14:paraId="093DCE64" w14:textId="77777777" w:rsidR="003B2D70" w:rsidRDefault="003B2D70" w:rsidP="003B2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70"/>
    <w:rsid w:val="003B2D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942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D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D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D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D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