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54B4" w14:textId="77777777" w:rsidR="00723C12" w:rsidRDefault="00723C12">
      <w:r>
        <w:t>兩分鐘開示</w:t>
      </w:r>
      <w:r>
        <w:t>—</w:t>
      </w:r>
      <w:r>
        <w:t>求佛保佑我們升官發財，有用嗎？　　（第一八六集）　　檔名：</w:t>
      </w:r>
      <w:r>
        <w:t xml:space="preserve">29-517-0186 </w:t>
      </w:r>
    </w:p>
    <w:p w14:paraId="1040562F" w14:textId="77777777" w:rsidR="00723C12" w:rsidRDefault="00723C12">
      <w:pPr>
        <w:pStyle w:val="a3"/>
      </w:pPr>
      <w:r>
        <w:t xml:space="preserve">　　你希望發財，佛教給我們要修財布施；你希望得聰明智慧，你要修法布施；希望健康長壽，你要修無畏布施。你不肯修因，哪裡會有果報？佛給我們講的這是真理，這是正法。不是說我們求佛，佛能保佑我們升官發財，沒這個道理。如果求佛，佛就保佑你，豈不是把因果定律給推翻了，佛也沒有能力推翻因果定律，所以佛的能力，教導我們修因證果。所謂的是種善因得善果，這是佛說的，佛不欺騙人，佛所講的話句句都真實。如果已經得善果的人，通達這個道理，又肯修布施，他的福報就很大了，愈來愈殊勝，不但他這一生福報享不盡，生生世世的福報都享不盡。　　節錄自：大乘無量壽經（第三十二集）</w:t>
      </w:r>
      <w:r>
        <w:t>02-034-0032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FFAD9" w14:textId="77777777" w:rsidR="00723C12" w:rsidRDefault="00723C12" w:rsidP="00723C12">
      <w:r>
        <w:separator/>
      </w:r>
    </w:p>
  </w:endnote>
  <w:endnote w:type="continuationSeparator" w:id="0">
    <w:p w14:paraId="138CB73C" w14:textId="77777777" w:rsidR="00723C12" w:rsidRDefault="00723C12" w:rsidP="00723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CEBA" w14:textId="77777777" w:rsidR="00723C12" w:rsidRDefault="00723C12" w:rsidP="00723C12">
      <w:r>
        <w:separator/>
      </w:r>
    </w:p>
  </w:footnote>
  <w:footnote w:type="continuationSeparator" w:id="0">
    <w:p w14:paraId="78087BB2" w14:textId="77777777" w:rsidR="00723C12" w:rsidRDefault="00723C12" w:rsidP="00723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12"/>
    <w:rsid w:val="00723C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BD2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C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C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C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C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