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1D740" w14:textId="77777777" w:rsidR="00DA5184" w:rsidRDefault="00DA5184">
      <w:r>
        <w:t>兩分鐘開示</w:t>
      </w:r>
      <w:r>
        <w:t>—</w:t>
      </w:r>
      <w:r>
        <w:t>今生來享福或受罪，都是前世造的因。　　（第二一四集）　　檔名：</w:t>
      </w:r>
      <w:r>
        <w:t xml:space="preserve">29-517-0214 </w:t>
      </w:r>
    </w:p>
    <w:p w14:paraId="104B96A8" w14:textId="77777777" w:rsidR="00DA5184" w:rsidRDefault="00DA5184">
      <w:pPr>
        <w:pStyle w:val="a3"/>
      </w:pPr>
      <w:r>
        <w:t xml:space="preserve">　　我們這一生當中到底是享福是受罪，不要怪別人，都是自己前世造作的，前世造作的因，這一生來享果報。所以經典裡頭有說，「欲知前世因，今生受者是」，我這一生受的就是前生造的因；「欲知來世果，今生作者是」，這一生造的是什麼？來世的果報。大概我們來世還都不會錯，為什麼？遇到佛法了，這道理搞清楚了。來世的果報，最上的可以成佛、成菩薩，最下的也能到地獄，就看我們自己怎麼選擇，我們到底選擇哪一條路，權在我們的手上，與別人都不相干，這是一定要知道的。怨天尤人是絕大的錯誤，那是造重業。　　節錄自：淨土大經科註（第二０六集）</w:t>
      </w:r>
      <w:r>
        <w:t>02-037-0206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73C46" w14:textId="77777777" w:rsidR="00DA5184" w:rsidRDefault="00DA5184" w:rsidP="00DA5184">
      <w:r>
        <w:separator/>
      </w:r>
    </w:p>
  </w:endnote>
  <w:endnote w:type="continuationSeparator" w:id="0">
    <w:p w14:paraId="53EAD862" w14:textId="77777777" w:rsidR="00DA5184" w:rsidRDefault="00DA5184" w:rsidP="00DA5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3D885" w14:textId="77777777" w:rsidR="00DA5184" w:rsidRDefault="00DA5184" w:rsidP="00DA5184">
      <w:r>
        <w:separator/>
      </w:r>
    </w:p>
  </w:footnote>
  <w:footnote w:type="continuationSeparator" w:id="0">
    <w:p w14:paraId="30558D81" w14:textId="77777777" w:rsidR="00DA5184" w:rsidRDefault="00DA5184" w:rsidP="00DA51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184"/>
    <w:rsid w:val="00DA51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88E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51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51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51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51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