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5E72" w14:textId="77777777" w:rsidR="00C4669D" w:rsidRDefault="00C4669D">
      <w:r>
        <w:t>兩分鐘開示</w:t>
      </w:r>
      <w:r>
        <w:t>—</w:t>
      </w:r>
      <w:r>
        <w:t>今生孤苦伶仃，因是什麼？　　（第二一七集）　　檔名：</w:t>
      </w:r>
      <w:r>
        <w:t xml:space="preserve">29-517-0217 </w:t>
      </w:r>
    </w:p>
    <w:p w14:paraId="20A70047" w14:textId="77777777" w:rsidR="00C4669D" w:rsidRDefault="00C4669D">
      <w:pPr>
        <w:pStyle w:val="a3"/>
      </w:pPr>
      <w:r>
        <w:t xml:space="preserve">　　今天社會墮胎的風氣非常盛行，他得什麼果報？他就得的是孤獨，貧窮、孤獨，他得這個果報。他將來投胎的時候到人道，父母雙亡，為什麼？你前世殺小孩，你得這個果報；到老的時候你沒有兒女，沒有人奉養你。世間人不曉得這個道理，不知道事實真相；知道事實真相，這事情能做嗎？缺德太甚。現在社會大家不要兒女，兒女是累贅，到將來自己老的時候沒人奉養。老人怎麼樣？我們常常聽到，老人院裡頭常常有老人自殺。自殺解決不了問題，他生生世世要受這個果報，什麼時候這個債能還清？全是自作自受。　　節錄自：淨土大經解演義（第五二０集）</w:t>
      </w:r>
      <w:r>
        <w:t>02-039-0520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EA037" w14:textId="77777777" w:rsidR="00C4669D" w:rsidRDefault="00C4669D" w:rsidP="00C4669D">
      <w:r>
        <w:separator/>
      </w:r>
    </w:p>
  </w:endnote>
  <w:endnote w:type="continuationSeparator" w:id="0">
    <w:p w14:paraId="1157F31E" w14:textId="77777777" w:rsidR="00C4669D" w:rsidRDefault="00C4669D" w:rsidP="00C46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06886" w14:textId="77777777" w:rsidR="00C4669D" w:rsidRDefault="00C4669D" w:rsidP="00C4669D">
      <w:r>
        <w:separator/>
      </w:r>
    </w:p>
  </w:footnote>
  <w:footnote w:type="continuationSeparator" w:id="0">
    <w:p w14:paraId="22FE4073" w14:textId="77777777" w:rsidR="00C4669D" w:rsidRDefault="00C4669D" w:rsidP="00C46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9D"/>
    <w:rsid w:val="00C466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0AB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66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66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66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66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