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33EC" w14:textId="77777777" w:rsidR="003F0B51" w:rsidRDefault="003F0B51">
      <w:r>
        <w:t>兩分鐘開示</w:t>
      </w:r>
      <w:r>
        <w:t>—</w:t>
      </w:r>
      <w:r>
        <w:t>蓋「往生被」是否就能往生？　　（第三六Ｏ集）　　檔名：</w:t>
      </w:r>
      <w:r>
        <w:t xml:space="preserve">29-517-0360 </w:t>
      </w:r>
    </w:p>
    <w:p w14:paraId="37AEB2A9" w14:textId="77777777" w:rsidR="003F0B51" w:rsidRDefault="003F0B51">
      <w:pPr>
        <w:pStyle w:val="a3"/>
      </w:pPr>
      <w:r>
        <w:t xml:space="preserve">　　問：「我曾經聽人說，應用往生被蓋在亡者遺體，但有些人卻說，此被有經咒不能蓋在亡者身上，因為亡者身體不淨。請問到底能不能用？」</w:t>
      </w:r>
      <w:r>
        <w:t xml:space="preserve"> </w:t>
      </w:r>
    </w:p>
    <w:p w14:paraId="4408D3A3" w14:textId="77777777" w:rsidR="003F0B51" w:rsidRDefault="003F0B51">
      <w:pPr>
        <w:pStyle w:val="a3"/>
      </w:pPr>
      <w:r>
        <w:t xml:space="preserve">　　答：佛家不稱「往生被」，稱「陀羅尼被」。「陀羅尼」是印度話，翻成中國意思是「咒」。這個被子有很多咒語在裡頭，所以稱之為「陀羅尼被」。一般亡者入大殮時，陀羅尼被蓋在最上面，顯教裡頭沒有，這多半是密宗的。但是現在不學密的人，我看到有不少人都用陀羅尼被，被上有經咒，密宗有它的儀規，他照它的儀規做，那是如法的。在顯教裡面，也可以這麼做，不是不能做。</w:t>
      </w:r>
      <w:r>
        <w:t xml:space="preserve"> </w:t>
      </w:r>
    </w:p>
    <w:p w14:paraId="21ABF0AE" w14:textId="77777777" w:rsidR="003F0B51" w:rsidRDefault="003F0B51">
      <w:pPr>
        <w:pStyle w:val="a3"/>
      </w:pPr>
      <w:r>
        <w:t xml:space="preserve">　　這個被子到底有沒有用處？有不少同修來問我：「是不是蓋著陀羅尼被就能往生？」我就想，如果蓋陀羅尼被就可以往生，釋迦牟尼佛何必費這麼多事情講經說法？讓大家多做一點陀羅尼被就行了，每一個人蓋一下，不統統都往生了？這在理上講不通！往生，剛才說過，一定要「心淨則佛土淨」，這個被子一蓋，心就清淨了嗎？平常你每天晚上蓋蓋看，你看心清不清淨？學佛，佛要我們開智慧，佛教我們不要迷信，我們總得想想，於情、於理、於法，到底相應不相應？這個事情你自然就能解決了。有許多念佛人不用陀羅尼被的，念佛用這個是比較少。　　節錄自：</w:t>
      </w:r>
      <w:r>
        <w:t>21-090-0054</w:t>
      </w:r>
      <w:r>
        <w:t>學佛答問（第五十三集）　　兩分鐘開示　　（第三六Ｏ集）　　恭錄自淨空老法師講演集　　檔名：</w:t>
      </w:r>
      <w:r>
        <w:t>29-517-0360</w:t>
      </w:r>
      <w:r>
        <w:t>２兩分鐘開示　　（第三六Ｏ集）　　恭錄自淨空老法師講演集　　檔名：</w:t>
      </w:r>
      <w:r>
        <w:t>29-517-0360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4ED05" w14:textId="77777777" w:rsidR="003F0B51" w:rsidRDefault="003F0B51" w:rsidP="003F0B51">
      <w:r>
        <w:separator/>
      </w:r>
    </w:p>
  </w:endnote>
  <w:endnote w:type="continuationSeparator" w:id="0">
    <w:p w14:paraId="7598B626" w14:textId="77777777" w:rsidR="003F0B51" w:rsidRDefault="003F0B51" w:rsidP="003F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5460A" w14:textId="77777777" w:rsidR="003F0B51" w:rsidRDefault="003F0B51" w:rsidP="003F0B51">
      <w:r>
        <w:separator/>
      </w:r>
    </w:p>
  </w:footnote>
  <w:footnote w:type="continuationSeparator" w:id="0">
    <w:p w14:paraId="4B36BC0B" w14:textId="77777777" w:rsidR="003F0B51" w:rsidRDefault="003F0B51" w:rsidP="003F0B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51"/>
    <w:rsid w:val="003F0B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3D6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0B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0B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0B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0B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