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E6A0" w14:textId="77777777" w:rsidR="00234DFE" w:rsidRDefault="00234DFE">
      <w:r>
        <w:t>淨土大經解演義節要</w:t>
      </w:r>
      <w:r>
        <w:t>—</w:t>
      </w:r>
      <w:r>
        <w:t>即凡夫心，開佛知見　　（第八十七集）　　檔名：</w:t>
      </w:r>
      <w:r>
        <w:t xml:space="preserve">29-519-0087 </w:t>
      </w:r>
    </w:p>
    <w:p w14:paraId="5301445E" w14:textId="77777777" w:rsidR="00234DFE" w:rsidRDefault="00234DFE">
      <w:pPr>
        <w:pStyle w:val="a3"/>
      </w:pPr>
      <w:r>
        <w:t xml:space="preserve">　　「《大勢至圓通章》曰：淨念相繼、自得心開。即凡夫心，開佛知見。」他引用這句話好，淨念相繼是功夫，也就是一心持名；自得心開是開悟，大徹大悟，明心見性，不用別的方法，就這一句佛號。「即凡夫心，開佛知見」，開佛知見就是大徹大悟，就是明心見性，不要用另外一個方法。我們在歷代，看到這些念佛人，三年的時間成功，預知時至，自在往生，我們想想他有沒有自得心開？淨念相繼的功夫肯定有，自得心開了。自得心開之後，為什麼不講經不弘法？講經弘法需要法緣，他沒有這個法緣他就走了。他走了，有沒有講經？有沒有弘法？有，他那個樣子就是給後人做最好的榜樣，他不是用言教，他是用身來表法。我們在佛法裡頭講經教學五十多年，黃忠昌這個表演，時間不長，他給我們講經教學做出最好的例證，證明了，這個功德殊勝。你要不相信，你看人家依教奉行，念了兩年十個月就成功，真的不是假的。有不少信心不足，猶豫徬徨的人一看到這個，信心堅定了。他真的接引大眾往生，也是接引有緣人，人家看到那個樣子，真信心生起來了，像他一樣那麼樣認真，真幹，個個成就。</w:t>
      </w:r>
      <w:r>
        <w:t xml:space="preserve"> </w:t>
      </w:r>
    </w:p>
    <w:p w14:paraId="72A8A57C" w14:textId="77777777" w:rsidR="00234DFE" w:rsidRDefault="00234DFE">
      <w:pPr>
        <w:pStyle w:val="a3"/>
      </w:pPr>
      <w:r>
        <w:t xml:space="preserve">　　「至於根器淺者，但能至心信樂，願生彼國，乃至十念，臨命終時，蒙佛攝受，便生極樂，花開見佛，悟入無生。奇妙疾捷，莫過於是。」根器淺的，參禪不能得定，學教不能大開圓解，根器淺的是指這些人。他只要能夠至心信樂，至心是真誠到極處，決定沒有絲毫懷疑，相信淨土法門，相信《無量壽經》，相信《阿彌陀經》，死心塌地，一門深入；這個樂是愛好，不用多，這薄薄一本小冊子就行。願生淨土，這個願非常重要，這一生肯定就這麼一個方向、一個目標，決定要做到。蕅益大師在《要解》裡面講得很好，行人，就是念佛人，能不能往生極樂世界，決定在信願之有無，只要你真信、真願，沒有一個不往生，生到西方極樂世界品位高下，那是你念佛功夫的淺深，這話說得好。功夫淺的，凡聖同居土，為什麼？沒念到一心不亂。念到事一心不亂的生方便有餘土，念到理一心不亂的生實報莊嚴土，念佛功夫的淺深。這三土都有九品，都有三輩九品，看功夫淺深。往生不往生在信願之有無，這話說得好，古人沒說過，蕅益大師在《要解》裡講的。　　節錄自：</w:t>
      </w:r>
      <w:r>
        <w:t xml:space="preserve">02-039-0011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4DC7" w14:textId="77777777" w:rsidR="00234DFE" w:rsidRDefault="00234DFE" w:rsidP="00234DFE">
      <w:r>
        <w:separator/>
      </w:r>
    </w:p>
  </w:endnote>
  <w:endnote w:type="continuationSeparator" w:id="0">
    <w:p w14:paraId="57D7D2CD" w14:textId="77777777" w:rsidR="00234DFE" w:rsidRDefault="00234DFE" w:rsidP="00234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25D7B" w14:textId="77777777" w:rsidR="00234DFE" w:rsidRDefault="00234DFE" w:rsidP="00234DFE">
      <w:r>
        <w:separator/>
      </w:r>
    </w:p>
  </w:footnote>
  <w:footnote w:type="continuationSeparator" w:id="0">
    <w:p w14:paraId="2D3AA269" w14:textId="77777777" w:rsidR="00234DFE" w:rsidRDefault="00234DFE" w:rsidP="00234D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FE"/>
    <w:rsid w:val="00234DF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F158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D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D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D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D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