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06A" w:rsidRDefault="005C406A">
      <w:r>
        <w:t>淨土大經解演義節要</w:t>
      </w:r>
      <w:r>
        <w:t>—</w:t>
      </w:r>
      <w:r>
        <w:t>宇宙是誰創造的？　　（第一三七集）　　檔名：</w:t>
      </w:r>
      <w:r>
        <w:t xml:space="preserve">29-519-0137 </w:t>
      </w:r>
    </w:p>
    <w:p w:rsidR="005C406A" w:rsidRDefault="005C406A">
      <w:pPr>
        <w:pStyle w:val="a3"/>
      </w:pPr>
      <w:r>
        <w:t xml:space="preserve">　　賢首國師依《華嚴經》造的論，《還源觀》這篇論文，是依《華嚴經》教義寫的這篇文章。你看它起作用的時候，這就是無論是精神、是物質，它的作用周遍法界，那個速度之快，念頭才一動就周遍法界，比光快，比電快。光跟電跟周遍法界不能比，差太遠了。它怎麼會沒有感應？第二個告訴我們，「出生無盡」，出生是變化，變化無窮。第三個「含容空有」。我們如果曉得這個事實真相，才知道意念不但主宰我們的身、我們的相貌、我們的健康，不但主宰這個，主宰我們地球山河大地，它主宰了遍法界虛空界，主宰了星系在空中運行的軌道，規律。宇宙是誰創造的？念頭創造的，這個念頭多厲害。念頭稍微不正，那你就是多災多病、多憂愁多顧慮，你的生活很辛苦。念頭要是回歸正道，正常的人天生活，那真的是幸福圓滿，人天道。可是可別留戀人天道，留戀人天道，免不了要造罪業。造罪業，一個變化又變成餓鬼、地獄，統統都是你念頭變的，沒有一樣東西是外來的。心外無法，法外無心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406A" w:rsidRDefault="005C406A" w:rsidP="005C406A">
      <w:r>
        <w:separator/>
      </w:r>
    </w:p>
  </w:endnote>
  <w:endnote w:type="continuationSeparator" w:id="0">
    <w:p w:rsidR="005C406A" w:rsidRDefault="005C406A" w:rsidP="005C4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406A" w:rsidRDefault="005C406A" w:rsidP="005C406A">
      <w:r>
        <w:separator/>
      </w:r>
    </w:p>
  </w:footnote>
  <w:footnote w:type="continuationSeparator" w:id="0">
    <w:p w:rsidR="005C406A" w:rsidRDefault="005C406A" w:rsidP="005C4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6A"/>
    <w:rsid w:val="005C40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