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CCD2" w14:textId="77777777" w:rsidR="00506ABB" w:rsidRDefault="00506ABB">
      <w:r>
        <w:t>淨土大經解演義節要</w:t>
      </w:r>
      <w:r>
        <w:t>—</w:t>
      </w:r>
      <w:r>
        <w:t>修行人，時時刻刻要警覺自己　　（第二</w:t>
      </w:r>
      <w:r>
        <w:t>O</w:t>
      </w:r>
      <w:r>
        <w:t>九集）　　檔名：</w:t>
      </w:r>
      <w:r>
        <w:t xml:space="preserve">29-519-0209 </w:t>
      </w:r>
    </w:p>
    <w:p w14:paraId="0075613F" w14:textId="77777777" w:rsidR="00506ABB" w:rsidRDefault="00506ABB">
      <w:pPr>
        <w:pStyle w:val="a3"/>
      </w:pPr>
      <w:r>
        <w:t xml:space="preserve">　　所以修行人，時時刻刻要警覺自己，心一旦不清淨，馬上回頭，錯了，怎麼不清淨？起分別執著就不清淨、就不平等。淨宗之妙，淨宗是方便當中的方便，它是什麼？立刻叫你歸到阿彌陀佛，恢復自己的清淨心，自己清淨心裡只有一句阿彌陀佛。這開頭不是講嗎？憶佛念佛，歷歷分明，行住坐臥唯此一念，無第二念。這個時候，你的心是清淨的、你的心是平等的，可是你把佛號放掉之後，你的心就又不清淨、又不平等。我們下手在這裡修，修到清淨心現前，這個方法還不能捨掉，還得用這個方法，修到平等心，這個方法依舊不捨。真正到成佛了，還不捨離這方法，那個時候是教眾生的；沒有成佛之前，這個方法是自利的。自己成就了，這一句佛號還是念到底，那是化他的，自行化他唯此一法。眾生根性不相同，就像釋迦牟尼佛一樣，為他講一切經，他什麼樣根機跟他講什麼法門，但是到最後都導歸極樂。我們在祖師大德報導當中看到，世尊一生四十九年所說的一切法門，最後歸哪裡？歸《華嚴》，歸華藏。華藏最後，文殊、普賢二大菩薩，率領著華藏會上四十一位法身大士，去拜訪阿彌陀佛，導歸極樂，在《華嚴經》上看到的。文殊、普賢這個舉動，當然是毘盧遮那佛的意思，毘盧遮那佛沒有這個意思，文殊、普賢不可以這樣做法。毘盧遮</w:t>
      </w:r>
      <w:r>
        <w:t>那贊同，毘盧遮那佛歡喜，為什麼？親近阿彌陀佛就快速成就。諸佛如來巴不得一切眾生立刻就成佛，這是諸佛如來的本願。所以古德說得好，千經萬論，處處指歸，沒有一法不歸淨土。</w:t>
      </w:r>
      <w:r>
        <w:t xml:space="preserve"> </w:t>
      </w:r>
    </w:p>
    <w:p w14:paraId="32204FE8" w14:textId="77777777" w:rsidR="00506ABB" w:rsidRDefault="00506ABB">
      <w:pPr>
        <w:pStyle w:val="a3"/>
      </w:pPr>
      <w:r>
        <w:t xml:space="preserve">　　所以大乘教裡面，我們也常講它有三個共同科目，第一個是戒律，八萬四千法門，無量法門，不管是哪個法門，不能離開戒律，戒律是基礎。我們今天所說的扎根教育，你不能沒有根，這戒律是根，根本。第二個共同科目必須要修的是理，理是什麼？唯心所現、唯識所變，這是理，共同科目無論哪個法門都是必修的。第三個是歸宿，就是西方極樂世界，不管哪個法門到最後統統歸極樂世界。三大共同科目，我們不能不認真去學習。這三大科目，給諸位說，這部經裡面經文不算太長，圓滿具足，我們不能不知道。我們的修學以這個為大根大本，這是我們學習的主科，主修的課程。一切經乃至其他宗教經典是我們的輔助課程，你這一門通一切經全通，世出世間一切法也通了。　　節錄自：</w:t>
      </w:r>
      <w:r>
        <w:t>02-039-0029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5E98C" w14:textId="77777777" w:rsidR="00506ABB" w:rsidRDefault="00506ABB" w:rsidP="00506ABB">
      <w:r>
        <w:separator/>
      </w:r>
    </w:p>
  </w:endnote>
  <w:endnote w:type="continuationSeparator" w:id="0">
    <w:p w14:paraId="41A160A0" w14:textId="77777777" w:rsidR="00506ABB" w:rsidRDefault="00506ABB" w:rsidP="00506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F52DF" w14:textId="77777777" w:rsidR="00506ABB" w:rsidRDefault="00506ABB" w:rsidP="00506ABB">
      <w:r>
        <w:separator/>
      </w:r>
    </w:p>
  </w:footnote>
  <w:footnote w:type="continuationSeparator" w:id="0">
    <w:p w14:paraId="3CE4AFDD" w14:textId="77777777" w:rsidR="00506ABB" w:rsidRDefault="00506ABB" w:rsidP="00506A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BB"/>
    <w:rsid w:val="00506AB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268E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6A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6A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6A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6A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