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269" w:rsidRDefault="00DD4269">
      <w:r>
        <w:t>淨土大經解演義節要</w:t>
      </w:r>
      <w:r>
        <w:t>—</w:t>
      </w:r>
      <w:r>
        <w:t>誠則靈　　（第三七八集）　　檔名：</w:t>
      </w:r>
      <w:r>
        <w:t xml:space="preserve">29-519-0378 </w:t>
      </w:r>
    </w:p>
    <w:p w:rsidR="00DD4269" w:rsidRDefault="00DD4269">
      <w:pPr>
        <w:pStyle w:val="a3"/>
      </w:pPr>
      <w:r>
        <w:t xml:space="preserve">　　這次我在梵諦岡訪問，我有一個談話提要，末後一段講禱告靈不靈？有人禱告很靈，有感應，很明顯，有人禱告不靈。同樣的禱告文，為什麼效果不一樣？禱告人的心清不清淨、誠不誠懇，關鍵在此地。真誠心，清淨心，那個禱告感應就非常快速。心裡面有懷疑，心裡頭有雜念，禱告就不靈。我們中國古人講的一句話，講得很好，「誠則靈」，你心地不誠就沒有感應，心地真誠就有感應。西方人對於禱告，可以說很有研究，說得很好。他也講清淨心，也講真誠心；還要講一個很好的情緒，情緒不好的話，心裡很亂，禱告也有問題，所以要有很好的情緒。皆同一色，我們可以用這個話來說，他見性了。真性在哪裡？無有一法不是，法法皆是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269" w:rsidRDefault="00DD4269" w:rsidP="00DD4269">
      <w:r>
        <w:separator/>
      </w:r>
    </w:p>
  </w:endnote>
  <w:endnote w:type="continuationSeparator" w:id="0">
    <w:p w:rsidR="00DD4269" w:rsidRDefault="00DD4269" w:rsidP="00DD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269" w:rsidRDefault="00DD4269" w:rsidP="00DD4269">
      <w:r>
        <w:separator/>
      </w:r>
    </w:p>
  </w:footnote>
  <w:footnote w:type="continuationSeparator" w:id="0">
    <w:p w:rsidR="00DD4269" w:rsidRDefault="00DD4269" w:rsidP="00DD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69"/>
    <w:rsid w:val="00DD426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