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74B4" w:rsidRDefault="003074B4">
      <w:r>
        <w:t>淨土大經解演義節要</w:t>
      </w:r>
      <w:r>
        <w:t>—</w:t>
      </w:r>
      <w:r>
        <w:t>轉迷為悟就金剛不壞身。　　（第五一六集）　　檔名：</w:t>
      </w:r>
      <w:r>
        <w:t xml:space="preserve">29-519-0516 </w:t>
      </w:r>
    </w:p>
    <w:p w:rsidR="003074B4" w:rsidRDefault="003074B4">
      <w:pPr>
        <w:pStyle w:val="a3"/>
      </w:pPr>
      <w:r>
        <w:t xml:space="preserve">　　所以這些科學家說，宇宙之間，根據他研究這個原子，研究這些基本粒子，得到最後的結論，宇宙之間沒有物質這個東西，物質跟精神現象，都是意念累積連續的一個現象。所以我們在《華嚴經》上常常跟同學們提醒，這個現象是個相似相續相，不是真的相續，真的是每一念產生的，物質現象跟精神現象都是獨立的，跟前念、後念都不一樣，念念都不一樣，它相似它不完全相同，所以不能說相續，講相似相續。所以我覺得科學家這個說法說得好，他說是累積，念頭累積一個連續的幻相，這個說法說得很好，講得很清楚。這無生忍你真正承認它，知道這個東西不是真的，包括我們身體，你這就放心，放心就自在了，一放心你整個身體裡面的細胞都恢復正常。你不放心，今天想這個，明天心裡想到肝，明天想到肺，後天想到心，它裡頭總是在緊張，緊張怎麼樣？就容易產生病態，這細胞就產生變化。你一切都知道正常的，一生馬上就滅了，你根本就不再去想它了，事實真相了解，隨它去吧！全恢復正常了，本來有病態的細胞都恢復正常。所以這學佛起碼的好處，學到什麼？你不生病！再告訴你，你不死了，生死是假的，這是真的，不是假話，絕對不是迷信。</w:t>
      </w:r>
      <w:r>
        <w:t xml:space="preserve"> </w:t>
      </w:r>
    </w:p>
    <w:p w:rsidR="003074B4" w:rsidRDefault="003074B4">
      <w:pPr>
        <w:pStyle w:val="a3"/>
      </w:pPr>
      <w:r>
        <w:t xml:space="preserve">　　所以生死，佛法講了生死，了是什麼？明瞭，對生死是個什麼事情真的搞清楚、搞明瞭了，所以你對它一點恐怖都沒有。生死是什麼事情？換一件衣服而已。這物質的身體使用一段時間不好用了，不好用換一個；就好像衣服穿髒了、穿破了，或者穿了不喜歡，換一件，這很平常的事情。精神不滅，你不但是換，你看這身體丟掉了，還有靈性。我們講靈魂，靈魂在迷，覺悟之後不叫靈魂，叫靈性。學佛不是為別的，提升自己的靈性，身體是個附帶的，靈性附在這個身上，這個身上一點毛病都沒有。因為靈魂有迷，迷了它有妄想分別執著，靈性不迷，所以就形成像佛經上所講的「金剛不壞身」，轉迷為悟就金剛不壞身。從體起用，這是什麼？這是應化在世間，從體起用。再以這個方法，清淨平等覺的方法平等普度一切眾生，這個方法妙極了，清淨平等覺就在這一句阿彌陀佛。阿彌陀佛這一句全是梵語，它的意思可以用清淨平等覺來翻譯。阿彌陀佛什麼意思？清淨平等覺，用這個方法來度一切眾生，幫助他往生極樂世界同證無上菩提，大覺是無上菩提，就是回歸自性。這是從眾行顯理，眾行是許許多多的行門，包括我們日常生活、工作、處事待人接物，全都是阿彌陀佛，全都是清淨平等覺。要緊的是我們要真的明白，真的會用，會用最簡單的方法</w:t>
      </w:r>
      <w:r>
        <w:t>，就是在生活、工作、處事待人接物，心裡有阿彌陀佛，心裡面除阿彌陀佛之外什麼都沒有，就是這句話的意思。心裡不要想清淨平等覺，就想阿彌陀佛，簡單四個字，它就是的，就入這個境界。在生活當中清淨平等覺用上了，工作裡頭用上了，待人接物用上了，眾行當中顯理，這自性。　　節錄自：</w:t>
      </w:r>
      <w:r>
        <w:t>02-039-0081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74B4" w:rsidRDefault="003074B4" w:rsidP="003074B4">
      <w:r>
        <w:separator/>
      </w:r>
    </w:p>
  </w:endnote>
  <w:endnote w:type="continuationSeparator" w:id="0">
    <w:p w:rsidR="003074B4" w:rsidRDefault="003074B4" w:rsidP="00307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74B4" w:rsidRDefault="003074B4" w:rsidP="003074B4">
      <w:r>
        <w:separator/>
      </w:r>
    </w:p>
  </w:footnote>
  <w:footnote w:type="continuationSeparator" w:id="0">
    <w:p w:rsidR="003074B4" w:rsidRDefault="003074B4" w:rsidP="003074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B4"/>
    <w:rsid w:val="003074B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74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74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74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74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