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0688" w:rsidRDefault="001F0688">
      <w:r>
        <w:t>淨土大經解演義節要</w:t>
      </w:r>
      <w:r>
        <w:t>—</w:t>
      </w:r>
      <w:r>
        <w:t>從現在就要訓練念頭　　（第五七五集）　　檔名：</w:t>
      </w:r>
      <w:r>
        <w:t xml:space="preserve">29-519-0575 </w:t>
      </w:r>
    </w:p>
    <w:p w:rsidR="001F0688" w:rsidRDefault="001F0688">
      <w:pPr>
        <w:pStyle w:val="a3"/>
      </w:pPr>
      <w:r>
        <w:t xml:space="preserve">　　我們再看下面第六條，「六、無忘失心。念佛之人，求生淨土，成佛種智，於一切時，念念不捨，是名無忘失心」。這一條的意思不複雜，完全歸納到淨土這個法門來了。不失憶念，如來無量法門不失的，他教我們不要把念佛忘掉，正是大勢至菩薩所說的「憶佛念佛，現前當來必定見佛」。所以特別是在現在這個時代，災難很多！災難什麼時候來，沒人知道。我也聽到有一個人告訴我，他聽到通靈的人告訴他，說了很多災難，最後問他這災難幾時發生？問了很多遍，答案就一句話，天機不可洩露。有沒有？真有，什麼時候沒人知道。而且災難似乎是沒有預警的，說來就來了。</w:t>
      </w:r>
      <w:r>
        <w:t xml:space="preserve"> </w:t>
      </w:r>
    </w:p>
    <w:p w:rsidR="001F0688" w:rsidRDefault="001F0688">
      <w:pPr>
        <w:pStyle w:val="a3"/>
      </w:pPr>
      <w:r>
        <w:t xml:space="preserve">　　我在前兩個月，六月初，陪同馬來西亞的宗教訪問團到羅馬去訪問，訪問梵蒂岡，順便去看羅馬南面，開車大概是將近三個小時，一個古城龐貝城。這個城在兩千多年前被火山灰埋藏，整個城市聽說當時裡面居民逃出了一部分，還有一部分大概有四千多人沒逃出來，統統遇難了。多少時間？只有幾秒鐘的時間。我特別去看這個城，就是想了解當時的狀況。為什麼？這樣的狀況在現前這個世界是每一個地方都很可能發生，我們要做心理上的準備，它來得太突然、來得太快了，就像我們看到那個「２０１２」的電影一樣，措手不及。任何念頭都不能起，在這個時候只要起一念念佛心，雖然都是死亡，每一個人去的地方不一樣。</w:t>
      </w:r>
      <w:r>
        <w:t xml:space="preserve"> </w:t>
      </w:r>
    </w:p>
    <w:p w:rsidR="001F0688" w:rsidRDefault="001F0688">
      <w:pPr>
        <w:pStyle w:val="a3"/>
      </w:pPr>
      <w:r>
        <w:t xml:space="preserve">　　所以講六道輪迴，每一個人去的地方不一樣。什麼人決定你到什麼地方？給諸位說，沒有人決定，這個時候不是天神給你決定，也不是閻羅王給你決定，是你自己的念頭。佛法裡頭說得好，最後你的一念是什麼？如果最後那個念頭是貪心，不管你想著是財產，或者是家親眷屬，你最後這一念想這個是貪，貪心墮餓鬼道；如果最後這一念是瞋恨，有埋怨、怨氣、心裡不平，那就到地獄道；最後一念是糊塗、愚痴，雖然沒有什麼妄念，但迷迷糊糊的，多半到畜生道；你最後這一念是阿彌陀佛，你到極樂世界去了；最後這一念是真主，他到天園去了，就最後一念。這一世壽命終了的時候，來生到哪裡去是最後一念，那個是關鍵。你明白這個道理，老天很公平，沒有厚此薄彼，完全是中國古人講的話「自作自受」。我們明白這個道理，了解事實真相，那麼從現在就要訓練，訓練什麼？訓練這個念頭，時時刻刻都有阿彌陀佛這個念頭。災難來不來沒關係，來了到極樂世界去，不來的時候我繼續念佛，這就對了，完全對了。自己的前途主宰在自己的意念，我們有理由相信，每一個宗教經典都是如是說，那些大聖大賢不欺騙人。　　節錄自：</w:t>
      </w:r>
      <w:r>
        <w:t>02-039-0094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0688" w:rsidRDefault="001F0688" w:rsidP="001F0688">
      <w:r>
        <w:separator/>
      </w:r>
    </w:p>
  </w:endnote>
  <w:endnote w:type="continuationSeparator" w:id="0">
    <w:p w:rsidR="001F0688" w:rsidRDefault="001F0688" w:rsidP="001F0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0688" w:rsidRDefault="001F0688" w:rsidP="001F0688">
      <w:r>
        <w:separator/>
      </w:r>
    </w:p>
  </w:footnote>
  <w:footnote w:type="continuationSeparator" w:id="0">
    <w:p w:rsidR="001F0688" w:rsidRDefault="001F0688" w:rsidP="001F0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88"/>
    <w:rsid w:val="001F068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6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6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6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6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