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D61" w:rsidRDefault="00820D61">
      <w:r>
        <w:t>淨土大經解演義節要</w:t>
      </w:r>
      <w:r>
        <w:t>—</w:t>
      </w:r>
      <w:r>
        <w:t>一念覺證得極樂，一念迷苦不堪言　　（第六九一集）　　檔名：</w:t>
      </w:r>
      <w:r>
        <w:t xml:space="preserve">29-519-0691 </w:t>
      </w:r>
    </w:p>
    <w:p w:rsidR="00820D61" w:rsidRDefault="00820D61">
      <w:pPr>
        <w:pStyle w:val="a3"/>
      </w:pPr>
      <w:r>
        <w:t xml:space="preserve">　　每天只要能吃得飽、能穿得暖，有個地方可以遮蔽風雨，夠了，知足常樂。不必去營求，營求是苦不堪言，一定要活在這個世間，讓自己身心都沒有壓力，現在人講的沒有壓力，輕鬆愉快，這個日子多好過，這個日子多美滿！不要去自找苦吃，每天心裡憂慮、操心，操不完的心，那是自找苦吃。覺悟了，把這些千頭萬緒的東西徹底放下，不就沒事了嗎？放下就成佛了，成佛就沒事了。成佛之後教化眾生，那個多自在！教化眾生，你看無住生心，能現無量無邊身，不著相，沒有起心動念、分別執著，能現一切相。現相教學，為眾生做種種示現，還是沒有妄想分別執著，這才叫高明，高明到極處，這才叫法喜，這才叫極樂。所以極樂，一念覺你就證得極樂，一念迷那就苦不堪言。佛菩薩對一切眾生的教化沒別的，無非是教他破迷開悟，離苦得樂。離是放下、捨棄，苦的根源就是貪瞋痴慢疑，你得把這個東西把它拔除，這不是好東西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0D61" w:rsidRDefault="00820D61" w:rsidP="00820D61">
      <w:r>
        <w:separator/>
      </w:r>
    </w:p>
  </w:endnote>
  <w:endnote w:type="continuationSeparator" w:id="0">
    <w:p w:rsidR="00820D61" w:rsidRDefault="00820D61" w:rsidP="0082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0D61" w:rsidRDefault="00820D61" w:rsidP="00820D61">
      <w:r>
        <w:separator/>
      </w:r>
    </w:p>
  </w:footnote>
  <w:footnote w:type="continuationSeparator" w:id="0">
    <w:p w:rsidR="00820D61" w:rsidRDefault="00820D61" w:rsidP="00820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61"/>
    <w:rsid w:val="00820D6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