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2E92" w:rsidRDefault="00982E92">
      <w:r>
        <w:t>淨土大經解演義節要</w:t>
      </w:r>
      <w:r>
        <w:t>—</w:t>
      </w:r>
      <w:r>
        <w:t>原來看破就是放下　　（第六九九集）　　檔名：</w:t>
      </w:r>
      <w:r>
        <w:t xml:space="preserve">29-519-0699 </w:t>
      </w:r>
    </w:p>
    <w:p w:rsidR="00982E92" w:rsidRDefault="00982E92">
      <w:pPr>
        <w:pStyle w:val="a3"/>
      </w:pPr>
      <w:r>
        <w:t xml:space="preserve">　　所以在這個地方，他「示現二乘」，雖示現二乘「而離聲聞、辟支佛之相」，這超越，這是原理。菩薩在人道示現人身，度化人眾也是離人相，他不著相。無論在哪個地方示現，在哪一道示現，我們記住一個原則，他們決定沒有起心動念，起心動念尚且沒有，哪來的分別執著！這個原則永恆不變，這叫真理。在中國佛教建築當中，我們去訪問一個寺廟，第一個你所看到的是山門，天王殿，護法神，山門裡面兩邊供奉的是四大天王，當中供奉的是彌勒菩薩，彌勒菩薩都造中國五代後梁時代布袋和尚的像。布袋和尚走的時候跟大家說，他是彌勒菩薩化身來的，說完之後盤著腿他就走了，這是真的，不是假的。說是什麼佛菩薩再來的，說了不走，這是假的不是真的；身分一暴露馬上就走，不管是自己說的、是別人說的，如果身分暴露就走了。所以中國從那個時候起，以後造彌勒菩薩的像都造布袋和尚。布袋和尚在中國的表法表什麼？表大慈大悲，表笑面迎人，表平等對待、和諧相處，表這個；會看的，能看得比較深的，代表放下，萬緣放下。他每天在街頭上乞食，別人供養給他的東西，他都放在布袋裡頭，每天提了個大布袋。曾經有人問他，什麼是佛法？他老人家把布袋放在地上，兩個手這麼放下。別人看到這個樣子知道放下，放下就是佛法，人</w:t>
      </w:r>
      <w:r>
        <w:t>家看懂了，放下了。再問他老人家，放下之後怎麼辦？他把布袋拿起來背在身上走了，頭都不回。這是什麼意思？放下之後要提起，提起是度化眾生，放下是自己，就像此地講的而離，離就是放下。你看示現聲聞、辟支佛，那就是提起，應以什麼身得度就現什麼身。雖然現身度眾生，自己痕跡都不著，那叫放下。放下跟提起是一樁事情，不是兩樁事情，原來看破就是放下，放下就是看破。或者我們換句話，提起就是放下，放下就是提起，是一不是二，這叫妙法；放下不是提起，提起不是放下，這個法就不妙。你看妙在行世間法不著世間法，這個妙，跟一切眾生和光同塵，實際上一塵不染，跟大眾和光同塵一塵不染。這是大徹大悟的菩薩不住無為、不住有為，能行世間法，十法界依正莊嚴對他一絲毫妨礙都沒有，理事無礙、事事無礙。　　節錄自：</w:t>
      </w:r>
      <w:r>
        <w:t>02-039-0118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2E92" w:rsidRDefault="00982E92" w:rsidP="00982E92">
      <w:r>
        <w:separator/>
      </w:r>
    </w:p>
  </w:endnote>
  <w:endnote w:type="continuationSeparator" w:id="0">
    <w:p w:rsidR="00982E92" w:rsidRDefault="00982E92" w:rsidP="00982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2E92" w:rsidRDefault="00982E92" w:rsidP="00982E92">
      <w:r>
        <w:separator/>
      </w:r>
    </w:p>
  </w:footnote>
  <w:footnote w:type="continuationSeparator" w:id="0">
    <w:p w:rsidR="00982E92" w:rsidRDefault="00982E92" w:rsidP="00982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92"/>
    <w:rsid w:val="00982E9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E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E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E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E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