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73E3D" w:rsidRDefault="00273E3D">
      <w:r>
        <w:t>淨土大經解演義節要</w:t>
      </w:r>
      <w:r>
        <w:t>—</w:t>
      </w:r>
      <w:r>
        <w:t>大徹大悟的人，他們能恆順眾生　　（第七Ｏ四集）　　檔名：</w:t>
      </w:r>
      <w:r>
        <w:t xml:space="preserve">29-519-0704 </w:t>
      </w:r>
    </w:p>
    <w:p w:rsidR="00273E3D" w:rsidRDefault="00273E3D">
      <w:pPr>
        <w:pStyle w:val="a3"/>
      </w:pPr>
      <w:r>
        <w:t xml:space="preserve">　　明心見性、大徹大悟的人，他們能恆順眾生，跟眾生和光同塵，他就是沒有起心動念、沒有分別執著。幫助眾生所表現的，無盡的善巧方便。幫助眾生、成就眾生，這裡頭最重要的是啟迪眾生，幫他開智慧，讓他慢慢的覺悟。不能覺悟，把他拉靠近覺悟；跟覺悟靠得很近了，那就幫助他豁然大悟。這些佛菩薩有這種能力，他們確實是自性裡面透出來的智慧德能。我們如果業障不太重，遇到之後，一生肯定成就；業障深重的人遇到了，要大幅度的消除我們的業障。我們用十二因緣說，表現有愛有取，沒有分別執著，這個時候就叫無作。佛法裡常講「作而無作，無作而作」，就是這個意思。無作而作還是無作，無願，願跟作是同樣一個意思。　　節錄自：</w:t>
      </w:r>
      <w:r>
        <w:t>02-039-0119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73E3D" w:rsidRDefault="00273E3D" w:rsidP="00273E3D">
      <w:r>
        <w:separator/>
      </w:r>
    </w:p>
  </w:endnote>
  <w:endnote w:type="continuationSeparator" w:id="0">
    <w:p w:rsidR="00273E3D" w:rsidRDefault="00273E3D" w:rsidP="00273E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73E3D" w:rsidRDefault="00273E3D" w:rsidP="00273E3D">
      <w:r>
        <w:separator/>
      </w:r>
    </w:p>
  </w:footnote>
  <w:footnote w:type="continuationSeparator" w:id="0">
    <w:p w:rsidR="00273E3D" w:rsidRDefault="00273E3D" w:rsidP="00273E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3D"/>
    <w:rsid w:val="00273E3D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3E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3E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3E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3E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2025-10-14T11:58:00Z</dcterms:created>
  <dcterms:modified xsi:type="dcterms:W3CDTF">2025-10-14T11:58:00Z</dcterms:modified>
</cp:coreProperties>
</file>