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20323" w14:textId="77777777" w:rsidR="000A417E" w:rsidRDefault="000A417E">
      <w:r>
        <w:t>淨土大經解演義節要</w:t>
      </w:r>
      <w:r>
        <w:t>—</w:t>
      </w:r>
      <w:r>
        <w:t>妄心要不要去除它？　　（第七二八集）　　檔名：</w:t>
      </w:r>
      <w:r>
        <w:t xml:space="preserve">29-519-0728 </w:t>
      </w:r>
    </w:p>
    <w:p w14:paraId="63AF479B" w14:textId="77777777" w:rsidR="000A417E" w:rsidRDefault="000A417E">
      <w:pPr>
        <w:pStyle w:val="a3"/>
      </w:pPr>
      <w:r>
        <w:t xml:space="preserve">　　妄心要不要去除它？不需要，你除它還是妄。佛在《楞嚴經》上舉的比喻，我們人站在太陽底下，把我們人當作真心，太陽照的那個影子當作妄心，你要不要把那影子去掉？影子決定去不掉，你去影子多費事，愈來愈糟糕，妄上又加妄了。妄心怎麼樣？不管它、不用它就完了，就沒事，你別去理它。它礙不礙事？不礙事。你想想，你在燈光下、陽光下，影子有沒有障礙，有沒有礙你的事？你何必要去管它？所以用真心。釋迦牟尼佛為我們示現的用真心，就用在日常生活當中，用在著衣、持缽、乞食，用在坐禪，用在講經教學，用在應對，他用得多自在！這是我們要學的，學佛就得從這裡學，沒有妄心、沒有煩惱、沒有憂慮、沒有牽掛。為什麼？「一切有為法，如夢幻泡影，如露亦如電」，是說這個夢幻泡影根本就不存在，你管它幹什麼？而且它們不礙事。不礙事為什麼變成礙事？你裡頭加上分別執著就礙事，不把妄想分別執著加上去，它什麼事都不礙，為什麼？它是假的，它真的像個影子一樣。可見得，我們在日常生活當中完全是錯用了心，用妄心，不知道用真心。諸佛菩薩用真心，不用妄心就是用真心；用妄心，真心就不見了，這個道理得細心去體會。所以你看，直以三昧法門力起，這叫不用妄心，直以三昧法門力起，這就是真心起作用</w:t>
      </w:r>
      <w:r>
        <w:t>，自性本具的智慧德能起作用。所以得住定，你不住定就不行，住定，智慧就現前。所以，因戒得定、因定開慧，智慧開了，那個戒行是慧行，那個心是慧心、行是慧行。　　節錄自：</w:t>
      </w:r>
      <w:r>
        <w:t>02-039-0125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6895" w14:textId="77777777" w:rsidR="000A417E" w:rsidRDefault="000A417E" w:rsidP="000A417E">
      <w:r>
        <w:separator/>
      </w:r>
    </w:p>
  </w:endnote>
  <w:endnote w:type="continuationSeparator" w:id="0">
    <w:p w14:paraId="3CD55912" w14:textId="77777777" w:rsidR="000A417E" w:rsidRDefault="000A417E" w:rsidP="000A4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98044" w14:textId="77777777" w:rsidR="000A417E" w:rsidRDefault="000A417E" w:rsidP="000A417E">
      <w:r>
        <w:separator/>
      </w:r>
    </w:p>
  </w:footnote>
  <w:footnote w:type="continuationSeparator" w:id="0">
    <w:p w14:paraId="56EA5126" w14:textId="77777777" w:rsidR="000A417E" w:rsidRDefault="000A417E" w:rsidP="000A41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17E"/>
    <w:rsid w:val="000A417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F4EDD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41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41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41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41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