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AEF" w:rsidRDefault="00426AEF">
      <w:r>
        <w:t>淨土大經解演義節要</w:t>
      </w:r>
      <w:r>
        <w:t>—</w:t>
      </w:r>
      <w:r>
        <w:t>苦從哪裡來？樂從哪來？　　（第七四四集）　　檔名：</w:t>
      </w:r>
      <w:r>
        <w:t xml:space="preserve">29-519-0744 </w:t>
      </w:r>
    </w:p>
    <w:p w:rsidR="00426AEF" w:rsidRDefault="00426AEF">
      <w:pPr>
        <w:pStyle w:val="a3"/>
      </w:pPr>
      <w:r>
        <w:t xml:space="preserve">　　我們現在到末法時期，戒律沒有了，現在人不能吃苦，哪個不講求享受？稍有一點不如意這心裡就不高興，你看這貪瞋痴慢就起來了。可見得這個學佛一點功夫都沒有，也就是說這功德，毫無功德。所修的修一點福德，現在德都沒有了，就修一點福報吧，這是佛家有個名詞叫痴福，愚痴，痴福。那個德是福裡頭還有一點智慧，現在福報裡頭沒有智慧，裡面都是貪瞋痴慢疑，所以說痴福。我們要真幹，那就只有從《弟子規》學起，不能不學，不學不行。從《弟子規》，《弟子規》裡面一百一十三樁事情，這舉例舉出一百一十三樁事情，學的人要有舉一反三的能力，古人所謂「聞一知十」。也就是現在人講的活學活用，你把它學會落實在生活，落實在工作，落實在待人接物，你做到了真得受用，這是什麼？這是戒律的基礎。再學《感應篇》把它紮實，這個根紮穩，《感應篇》是因果教育，也不長，裡面給我們說的善因善果、惡因惡報，總共舉一百九十五個例子，我們也要像《弟子規》一樣，用在日常生活活學活用。再學佛門的《十善業道》就不難，三個根紮進去了，戒有根了。佛教給我們以戒為師，我們可以做到了，三皈、五戒、十戒，在家的菩薩戒、出家的比丘戒都能做到，不是假話。因戒得定，持戒、學經會開智慧。我們現在研究經教，為</w:t>
      </w:r>
      <w:r>
        <w:t>什麼智慧不開？沒有戒的底子。有戒的底子，他心是清淨的，清淨心生智慧，這多重要。智慧開了就管用，我們就離苦得樂。苦從哪裡來？苦從迷惑顛倒來的。樂從哪來？樂從覺悟來的，所以智慧一開就離苦得樂。所謂心開意解，世出世間一切法性相、理事、因果，你都通達明瞭，你怎麼會不快樂！依正莊嚴無窮的變化，你知道它為什麼會變，它怎麼個變法你全都知道。你知道、明瞭，你才能掌握，你才能夠幫助他。他迷了，幫助他開悟，幫助他回頭，頭一個用身教做出來給他看，引起他發問，你再給他解答，效果就現前。所以佛有智慧，我們懂得智慧從哪裡來，智慧的根、本我們都有，是自性裡頭的，本來具足的，佛教給我們怎樣把自性智慧開發出來，這些方法就是戒定慧。　　節錄自：</w:t>
      </w:r>
      <w:r>
        <w:t>02-039-0128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AEF" w:rsidRDefault="00426AEF" w:rsidP="00426AEF">
      <w:r>
        <w:separator/>
      </w:r>
    </w:p>
  </w:endnote>
  <w:endnote w:type="continuationSeparator" w:id="0">
    <w:p w:rsidR="00426AEF" w:rsidRDefault="00426AEF" w:rsidP="0042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AEF" w:rsidRDefault="00426AEF" w:rsidP="00426AEF">
      <w:r>
        <w:separator/>
      </w:r>
    </w:p>
  </w:footnote>
  <w:footnote w:type="continuationSeparator" w:id="0">
    <w:p w:rsidR="00426AEF" w:rsidRDefault="00426AEF" w:rsidP="00426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EF"/>
    <w:rsid w:val="00426AE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A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A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A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A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