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1AEF9" w14:textId="77777777" w:rsidR="00534ADE" w:rsidRDefault="00534ADE">
      <w:r>
        <w:t>淨土大經解演義節要</w:t>
      </w:r>
      <w:r>
        <w:t>—</w:t>
      </w:r>
      <w:r>
        <w:t>傷害人得的果報就是欠命　　（第八四五集）　　檔名：</w:t>
      </w:r>
      <w:r>
        <w:t xml:space="preserve">29-519-0845 </w:t>
      </w:r>
    </w:p>
    <w:p w14:paraId="56F23968" w14:textId="77777777" w:rsidR="00534ADE" w:rsidRDefault="00534ADE">
      <w:pPr>
        <w:pStyle w:val="a3"/>
      </w:pPr>
      <w:r>
        <w:t xml:space="preserve">　　譬如現在很常見的事情，你的朋友向你借錢，借了一大筆錢以後賴帳不還你了，你一看到他就生氣，一生氣就墮一層地獄，再一生氣又墮一層地獄，你說你不是冤枉嗎？你如果看到他，恭恭敬敬，若無其事，理都不要理，你往上升了，他幫助你升的。你本來會對他生氣，你現在不生氣了，所以你的上升他幫了一把忙。我們要問，他將來要不要墮落？那是他的因果，跟我不相干，是他的事情，各人因果各人承當，誰都不能代替。坑人、騙人那是好事嗎？不是好事，因果律裡頭講，欠命要還命，欠債要還錢，所以不能傷害人，你傷害人你得的果報就是欠命。大乘教跟小乘不一樣，小乘是論事不論心，大乘是論心不論事，你動念頭，這個人我恨他、我要殺他，你就犯了殺戒，你起心動念就犯戒，你就要背因果責任。所以小乘戒容易持，我恨他，要殺他，但是我沒有殺他，不犯戒，大乘不行，大乘起心動念就犯戒。所以大乘比小乘高，就高在此地。這些道理我們要不斷重複學習，加深印象，加深到什麼程度？日常生活當中用上了，你就自在；還用不上，還會發脾氣、還有怨恨，這個就麻煩大了，你沒用上，佛法學得再多等於沒學。學了一定用得上，你才真正得佛法的受用。　　節錄自：</w:t>
      </w:r>
      <w:r>
        <w:t>02-039-0171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69F82" w14:textId="77777777" w:rsidR="00534ADE" w:rsidRDefault="00534ADE" w:rsidP="00534ADE">
      <w:r>
        <w:separator/>
      </w:r>
    </w:p>
  </w:endnote>
  <w:endnote w:type="continuationSeparator" w:id="0">
    <w:p w14:paraId="69F77A51" w14:textId="77777777" w:rsidR="00534ADE" w:rsidRDefault="00534ADE" w:rsidP="00534A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D974A" w14:textId="77777777" w:rsidR="00534ADE" w:rsidRDefault="00534ADE" w:rsidP="00534ADE">
      <w:r>
        <w:separator/>
      </w:r>
    </w:p>
  </w:footnote>
  <w:footnote w:type="continuationSeparator" w:id="0">
    <w:p w14:paraId="005EE03D" w14:textId="77777777" w:rsidR="00534ADE" w:rsidRDefault="00534ADE" w:rsidP="00534A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ADE"/>
    <w:rsid w:val="00534AD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A10521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4A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4A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4A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4A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