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9626" w14:textId="77777777" w:rsidR="008709F8" w:rsidRDefault="008709F8">
      <w:r>
        <w:t>淨土大經解演義節要</w:t>
      </w:r>
      <w:r>
        <w:t>—</w:t>
      </w:r>
      <w:r>
        <w:t>放下從哪開始？　　（第八五三集）　　檔名：</w:t>
      </w:r>
      <w:r>
        <w:t xml:space="preserve">29-519-0853 </w:t>
      </w:r>
    </w:p>
    <w:p w14:paraId="3D17EA19" w14:textId="77777777" w:rsidR="008709F8" w:rsidRDefault="008709F8">
      <w:pPr>
        <w:pStyle w:val="a3"/>
      </w:pPr>
      <w:r>
        <w:t xml:space="preserve">　　我們放下從哪開始？從布施開始。布施是什麼？布施是調伏，就是伏煩惱，什麼煩惱？意，就是念頭，貪瞋痴慢疑的習氣就是這個意。歡喜布施，這個習氣慢慢自然就薄。修財布施，歡喜財布施，你對那個貪就放下了，而且這個貪裡面範圍很廣，財色名食睡都要放。為什麼把財擺在第一？確實一般人真的把財看得太重，所以把它放在第一，第二個就色。我也曾經聽同修告訴我，他們曾經有人做調查，普遍去採訪，問問這些年輕人、中年人、老年人，各行各業的，問他們，「在你們理念當中，人生在世什麼最重要？」只說一樁，什麼最重要？大家都說財。幾千個人裡面幾乎都是一致的，好像沒有說財的話只有幾個人。有了財之後，第二個什麼最重要？一定是色，你看看你麻煩不麻煩？你說這個多可怕。所以這個東西要淡化，你不淡化，不但出不了六道輪迴，出不了三惡道。因為貪瞋痴慢，它是與三惡道相干，它不是三善道。仁義禮智信是三善道，十善業是三善道，他們都沒有說，起心動念全是跟惡道相應，這還得了！你說這多可怕！幾個人起心動念跟孝悌忠信相應，跟禮義廉恥相應，跟仁愛和平相應，有幾個？一個都沒有。你去調查，一百個人當中沒有一個，一千個人當中也沒有一個，一萬人當中恐怕還是沒有一個，這個社會所以才會有災難</w:t>
      </w:r>
      <w:r>
        <w:t>。　　節錄自：</w:t>
      </w:r>
      <w:r>
        <w:t>02-039-0173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B0855" w14:textId="77777777" w:rsidR="008709F8" w:rsidRDefault="008709F8" w:rsidP="008709F8">
      <w:r>
        <w:separator/>
      </w:r>
    </w:p>
  </w:endnote>
  <w:endnote w:type="continuationSeparator" w:id="0">
    <w:p w14:paraId="66E3244E" w14:textId="77777777" w:rsidR="008709F8" w:rsidRDefault="008709F8" w:rsidP="00870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1CC75" w14:textId="77777777" w:rsidR="008709F8" w:rsidRDefault="008709F8" w:rsidP="008709F8">
      <w:r>
        <w:separator/>
      </w:r>
    </w:p>
  </w:footnote>
  <w:footnote w:type="continuationSeparator" w:id="0">
    <w:p w14:paraId="4573630F" w14:textId="77777777" w:rsidR="008709F8" w:rsidRDefault="008709F8" w:rsidP="00870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F8"/>
    <w:rsid w:val="008709F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BF0E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09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09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09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09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