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596D" w:rsidRDefault="00C5596D">
      <w:r>
        <w:t>淨土大經解演義節要</w:t>
      </w:r>
      <w:r>
        <w:t>—</w:t>
      </w:r>
      <w:r>
        <w:t>病的時候想死，死就來了　　（第九Ｏ五集）　　檔名：</w:t>
      </w:r>
      <w:r>
        <w:t xml:space="preserve">29-519-0905 </w:t>
      </w:r>
    </w:p>
    <w:p w:rsidR="00C5596D" w:rsidRDefault="00C5596D">
      <w:pPr>
        <w:pStyle w:val="a3"/>
      </w:pPr>
      <w:r>
        <w:t xml:space="preserve">　　「光壽無上故」，光是光明，也代表智慧；壽極長，三大阿僧祇劫，從初住到等覺，這麼長的時間裡頭沒有變化，人沒有生老病這個現象。我們這個世間有衰老，極樂世界沒有，三大阿僧祇劫永遠是年輕，身體永遠是強壯。為什麼？他沒有變，就是說他沒有分別執著，所以他就不變。要知道，我們的身體老化，會衰老，都是因為你有念頭。你看，年歲慢慢增長，老了，他就有這個念頭，這一聲老了，他就真老了，就這麼回事情。老了就想有病了，想病病就來了；到病的時候想死，死就來了，全是從心想生！極樂世界從來沒有這個念頭，沒這個觀念，所以他也不老、他也不病、他也不死。到最後一品生相無明習氣斷盡的時候，他回歸常寂光，叫妙覺位，到那個時候，實報莊嚴土沒有了，自性清淨圓明體現前。現前起不起作用？起作用，十方世界的眾生有感，他會有應，應以什麼身得度，他就現什麼身。</w:t>
      </w:r>
      <w:r>
        <w:t xml:space="preserve"> </w:t>
      </w:r>
    </w:p>
    <w:p w:rsidR="00C5596D" w:rsidRDefault="00C5596D">
      <w:pPr>
        <w:pStyle w:val="a3"/>
      </w:pPr>
      <w:r>
        <w:t xml:space="preserve">　　要知道，現身說法，他沒有起心動念，如果起心動念他又變成凡夫了，沒這個道理。釋迦牟尼佛在我們這個世間住世八十年，中國人說虛歲，這八十年當中所作所為，釋迦牟尼佛確實沒有起心動念過。起心動念尚且沒有，哪來的分別執著，這個要知道。這是佛菩薩應化在世間跟我們不一樣！外面樣子是一樣，裡頭完全不一樣。所以他們自住的境界我們不得而知，我們看外表好像跟我們是一樣，其實完全不相同，他永遠住在自性，自性本定。為我們講經說法，為我們表演，那是什麼？我們有感，他來應，他自然有應。像我們敲鐘敲鼓，我們敲是感，它的音聲就是應，它沒有心，並不是說要分別一下，你敲重一點，我響大一點；你輕一點，我就響輕一點，沒有，完全沒有。所以眾生有感，他就有應，眾生沒有感，他就不現了，我們講他就滅度、走了。　　節錄自：</w:t>
      </w:r>
      <w:r>
        <w:t>02-039-0186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596D" w:rsidRDefault="00C5596D" w:rsidP="00C5596D">
      <w:r>
        <w:separator/>
      </w:r>
    </w:p>
  </w:endnote>
  <w:endnote w:type="continuationSeparator" w:id="0">
    <w:p w:rsidR="00C5596D" w:rsidRDefault="00C5596D" w:rsidP="00C55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596D" w:rsidRDefault="00C5596D" w:rsidP="00C5596D">
      <w:r>
        <w:separator/>
      </w:r>
    </w:p>
  </w:footnote>
  <w:footnote w:type="continuationSeparator" w:id="0">
    <w:p w:rsidR="00C5596D" w:rsidRDefault="00C5596D" w:rsidP="00C559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6D"/>
    <w:rsid w:val="00C5596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59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59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59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59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