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320" w:rsidRDefault="00F33320">
      <w:r>
        <w:t>淨土大經解演義節要</w:t>
      </w:r>
      <w:r>
        <w:t>—</w:t>
      </w:r>
      <w:r>
        <w:t>一心不亂是平時，心不顛倒是臨終　　（第九三一集）　　檔名：</w:t>
      </w:r>
      <w:r>
        <w:t xml:space="preserve">29-519-0931 </w:t>
      </w:r>
    </w:p>
    <w:p w:rsidR="00F33320" w:rsidRDefault="00F33320">
      <w:pPr>
        <w:pStyle w:val="a3"/>
      </w:pPr>
      <w:r>
        <w:t xml:space="preserve">　　早年章嘉大師告訴我，佛法知難行易，行是放下，知是看破，看破難，太難了！真看破了，馬上就放下。所以妄想分別執著一念之間可以頓捨，放下，凡夫就變成佛了，究竟圓滿的佛。迷得太深、迷得太久，放不下。所以放不下障礙你看破，看不破又障礙你放下，這是我們的病根。治療這個病根，佛教導我們的，長時薰修，他老人家在世說法四十九年，這是告訴我們「長時薰修，一門深入」。佛說一切經不是對我一個人說的，這個事情經典上有比喻，從這個比喻你就要能夠覺悟。比喻是把釋迦牟尼佛比喻個大夫，佛是大醫王，眾生呢？眾生是病號。眾生找到佛，請佛開示，佛給你說個法門，給你說一部經，你拿到這個藥方之後依教奉行，你就能修行證果。過去四十九年說的那麼多經，都是對每個每個病人開的藥方、處方。我沒有見到釋迦牟尼佛，方子不是對我開的。我們現在是用釋迦牟尼佛給那個時候那些病人開的方子，你就曉得，我們在這麼多方子裡面，只能找一種對我這個症的就管用。實在找不到，你沒有智慧、沒有能力去找，這麼多處方到底哪個適合你，實在找不到，佛在《大集經》裡面說出來了，可以提供我們做參考。他說正法時期戒律成就，像法時期禪定成就，末法時期淨土成就，這是真實教誨。那我們自己想想，我生在什麼時</w:t>
      </w:r>
      <w:r>
        <w:t>候？生在末法時期，佛說了，末法時期淨土成就，我就老老實實修淨土，你就成功。這個時期你要想學參禪，去學禪，到最後不成功，你問釋迦牟尼佛，釋迦牟尼佛說怪你自己，我已經提供參考資料給你了。你生在像法，可以去參禪，你生在末法不行，禪不能成就，你得自己負責任。佛提供了參考給我們，我們老老實實的依照佛的吩咐老實去做，就會有成就。</w:t>
      </w:r>
      <w:r>
        <w:t xml:space="preserve"> </w:t>
      </w:r>
    </w:p>
    <w:p w:rsidR="00F33320" w:rsidRDefault="00F33320">
      <w:pPr>
        <w:pStyle w:val="a3"/>
      </w:pPr>
      <w:r>
        <w:t xml:space="preserve">　　淨土法門也很多，經典不算多，主要的五經一論。釋迦牟尼佛在一生講經教學當中，常常提到淨土，要是他常提的這些經論，應該有兩百多種，我們要不要去涉獵？不需要，不找麻煩，我只要一門深入。一門，最殊勝的無過於《無量壽經》，《無量壽經》現在有九種版本，無過於這個會集本，這是《無量壽經》五種原譯本的集大成，這一本就夠了。如果說這一本經太長，你不能夠學習，你可以學小本《佛說阿彌陀經》，一門深入，長時薰修，功德跟學習《無量壽經》是相同的、是相等的，沒有高下。只要你一心受持，你就得利益，如果你還有三心二意那就不行，那就不能成就。《彌陀經》上講的「一心不亂，心不顛倒」，這兩句話非常重要，一心不亂是平時，心不顛倒是臨終那一剎那，哪有不往生的道理？　　節錄自：</w:t>
      </w:r>
      <w:r>
        <w:t>02-039-0191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3320" w:rsidRDefault="00F33320" w:rsidP="00F33320">
      <w:r>
        <w:separator/>
      </w:r>
    </w:p>
  </w:endnote>
  <w:endnote w:type="continuationSeparator" w:id="0">
    <w:p w:rsidR="00F33320" w:rsidRDefault="00F33320" w:rsidP="00F33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3320" w:rsidRDefault="00F33320" w:rsidP="00F33320">
      <w:r>
        <w:separator/>
      </w:r>
    </w:p>
  </w:footnote>
  <w:footnote w:type="continuationSeparator" w:id="0">
    <w:p w:rsidR="00F33320" w:rsidRDefault="00F33320" w:rsidP="00F33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20"/>
    <w:rsid w:val="00F333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3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3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3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3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