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26190" w:rsidRDefault="00026190">
      <w:r>
        <w:t>淨土大經解演義節要</w:t>
      </w:r>
      <w:r>
        <w:t>—</w:t>
      </w:r>
      <w:r>
        <w:t>善惡不在事，在存心　　（第一一五五集）　　檔名：</w:t>
      </w:r>
      <w:r>
        <w:t xml:space="preserve">29-519-1155 </w:t>
      </w:r>
    </w:p>
    <w:p w:rsidR="00026190" w:rsidRDefault="00026190">
      <w:pPr>
        <w:pStyle w:val="a3"/>
      </w:pPr>
      <w:r>
        <w:t xml:space="preserve">　　現在若有一點小成就，那都是過去生中培的福，這一生當中所造的業習還沒有開始報，而是前生福德營護，就是經營、保護他，還沒有衰敗。但是這個福報享盡，他不善的業就起現行，惡報起現行。他不知道修善，縱然修善，因為不孝不敬他沒有根，無論怎麼修，善不能增長，沒根。現前修積種種善，因為沒有根，這個善是假善、偽善，說得不好聽是自欺欺人，假的，他不是真的，所以他得不到善報。善惡不在事，在存心，因為心是因，事是緣，沒有真心就是沒有真因，緣再足不能結果。佛菩薩慈悲，在經教裡頭講得很清楚、很明白，我們要細心去體會。細心還得是用真誠，沒有真誠、沒有恭敬，那個細心也不行，再細的心也體會不到。為什麼？真誠有感，有感有應；沒有真誠，樣子做得再好沒有感，所以也就沒有應。牟尼，寂靜義，身口意寂靜，三業都寂靜，故稱牟尼。身寂靜，不應該造作的決定不造，身寂靜。什麼東西是不應該造作的？為自私自利就是不應該造作的，為名聞利養是不應該造作的。真的徹底放下名聞利養，起心動念為正法久住，為惠以一切苦難眾生真實之利，這是該做的，應該做的；你沒有福報，佛菩薩支持你。沒有真誠心，你做的些假的也有人支持你，不是佛菩薩，妖魔鬼怪，他來成就你，他來幫助你，最後你身敗名</w:t>
      </w:r>
      <w:r>
        <w:t>裂。善有善果，惡有惡報，業因果報的道理、事實真相都在我們面前，你細心去觀察，清清楚楚、明明白白，不是不報，時辰未到，時辰一到，一切總報。　　節錄自：</w:t>
      </w:r>
      <w:r>
        <w:t>02-039-0282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26190" w:rsidRDefault="00026190" w:rsidP="00026190">
      <w:r>
        <w:separator/>
      </w:r>
    </w:p>
  </w:endnote>
  <w:endnote w:type="continuationSeparator" w:id="0">
    <w:p w:rsidR="00026190" w:rsidRDefault="00026190" w:rsidP="000261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26190" w:rsidRDefault="00026190" w:rsidP="00026190">
      <w:r>
        <w:separator/>
      </w:r>
    </w:p>
  </w:footnote>
  <w:footnote w:type="continuationSeparator" w:id="0">
    <w:p w:rsidR="00026190" w:rsidRDefault="00026190" w:rsidP="000261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190"/>
    <w:rsid w:val="0002619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261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261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261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261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