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2B90" w:rsidRDefault="00122B90">
      <w:r>
        <w:t>淨土大經解演義節要</w:t>
      </w:r>
      <w:r>
        <w:t>—</w:t>
      </w:r>
      <w:r>
        <w:t>正在作夢的時候，又何嘗不是一場空？　　（第一一五八集）　　檔名：</w:t>
      </w:r>
      <w:r>
        <w:t xml:space="preserve">29-519-1158 </w:t>
      </w:r>
    </w:p>
    <w:p w:rsidR="00122B90" w:rsidRDefault="00122B90">
      <w:pPr>
        <w:pStyle w:val="a3"/>
      </w:pPr>
      <w:r>
        <w:t xml:space="preserve">　　一切眾生是平等的，諸佛如來跟我們也沒有兩樣，完全平等，只是我們迷失了自性，這個失不是真的失掉，迷了以後它就不起作用，實際上還是起作用，不過扭曲了，不是正用。它的正用是現實報土依正莊嚴，就是華藏，就是密嚴，就是極樂世界；迷了之後就現十法界、現六道、現三途。所以還是有作用，只是迷悟的作用不一樣，它是真的，它不是假的。雖起作用，實際上痕跡都不著。就如同現代量子學家所發現的，整個宇宙是一個剎那生滅的連續相，相續。迷失自性的人，把這個虛幻不實的現象當作真的，這問題就出來了。當作真的，順自己的意思就起貪愛，不順自己的意思就起怨恨，這就講七情五欲。七情五欲就是裡面的煩惱是因，外面這個緣影響你，把自己裡面的煩惱勾引出來，這叫造業。造業它也有應，感應，這個應就是業報，善業是樂報，感得的是人天；惡業所感的是地獄、餓鬼、畜生，那是苦不堪言，沒有一樣不是自作自受。而且確確實實如同佛在經典上常常引用的比喻「夢幻泡影」，人作夢不知道自己是在夢中，所以夢裡面的苦樂他都受了。如果自己作夢的時候，知道自己是在作夢，有苦樂的境界，他不會起心動念。為什麼？曉得這是假的，這是一場夢，醒過來的時候知道是一場空。正在作夢的時候，又何嘗不是一場空？夢</w:t>
      </w:r>
      <w:r>
        <w:t>中醒悟過來的境界都清清楚楚、明明白白，毫不執著，這叫第一義空。我們從比喻裡頭體會到第一義，諸佛如來永遠住在第一，沒有落在第二，第二就迷了，第一是覺悟。所以「依第一義為門也」，這就是依真諦門。　　節錄自：</w:t>
      </w:r>
      <w:r>
        <w:t>02-039-0284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2B90" w:rsidRDefault="00122B90" w:rsidP="00122B90">
      <w:r>
        <w:separator/>
      </w:r>
    </w:p>
  </w:endnote>
  <w:endnote w:type="continuationSeparator" w:id="0">
    <w:p w:rsidR="00122B90" w:rsidRDefault="00122B90" w:rsidP="00122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2B90" w:rsidRDefault="00122B90" w:rsidP="00122B90">
      <w:r>
        <w:separator/>
      </w:r>
    </w:p>
  </w:footnote>
  <w:footnote w:type="continuationSeparator" w:id="0">
    <w:p w:rsidR="00122B90" w:rsidRDefault="00122B90" w:rsidP="00122B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90"/>
    <w:rsid w:val="00122B9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2B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2B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2B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2B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