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D6D" w:rsidRDefault="00E21D6D">
      <w:r>
        <w:t>淨土大經解演義節要</w:t>
      </w:r>
      <w:r>
        <w:t>—</w:t>
      </w:r>
      <w:r>
        <w:t>你相信有來生嗎？　　（第一一六五集）　　檔名：</w:t>
      </w:r>
      <w:r>
        <w:t xml:space="preserve">29-519-1165 </w:t>
      </w:r>
    </w:p>
    <w:p w:rsidR="00E21D6D" w:rsidRDefault="00E21D6D">
      <w:pPr>
        <w:pStyle w:val="a3"/>
      </w:pPr>
      <w:r>
        <w:t xml:space="preserve">　　這個我們在一生當中肯定遇到的，我們修行，幫助社會、幫助大眾做點好事，會遇到許許多多的障礙，在現在這個社會，你想像不到的障礙。你好心好意幫助他，他在那裡問我：「你為什麼幫助我？你有什麼企圖？你的目的何在？」你說：我沒有企圖，也沒有目的。「那你不是神經病嗎？你怎麼幹這個傻事？」這都是我們這麼多年來常常碰到的。我們也了解，遇到別人問我們，「我們想修一點福。」修什麼福？「來生福報。」你相信有來生嗎？「是，我相信有來生。」我們把因果教育送給他，告訴他有來生，信不信隨他，信很好，不信也好，為什麼？一歷耳根，永為道種。他到哪一天發現到真有來生，他很感激你，以前某人跟我說過，我不相信，現在知道是真的。這要學菩薩的善巧方便，能忍。　　節錄自：</w:t>
      </w:r>
      <w:r>
        <w:t>02-039-0288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D6D" w:rsidRDefault="00E21D6D" w:rsidP="00E21D6D">
      <w:r>
        <w:separator/>
      </w:r>
    </w:p>
  </w:endnote>
  <w:endnote w:type="continuationSeparator" w:id="0">
    <w:p w:rsidR="00E21D6D" w:rsidRDefault="00E21D6D" w:rsidP="00E2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D6D" w:rsidRDefault="00E21D6D" w:rsidP="00E21D6D">
      <w:r>
        <w:separator/>
      </w:r>
    </w:p>
  </w:footnote>
  <w:footnote w:type="continuationSeparator" w:id="0">
    <w:p w:rsidR="00E21D6D" w:rsidRDefault="00E21D6D" w:rsidP="00E21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6D"/>
    <w:rsid w:val="00E21D6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