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3722" w14:textId="77777777" w:rsidR="006008DA" w:rsidRDefault="006008DA">
      <w:r>
        <w:t>念佛的真實利益</w:t>
      </w:r>
      <w:r>
        <w:t>—</w:t>
      </w:r>
      <w:r>
        <w:t>念佛功夫淺深不同　　（第二十六集）　　恭錄自</w:t>
      </w:r>
      <w:r>
        <w:t xml:space="preserve"> </w:t>
      </w:r>
      <w:r>
        <w:t>淨空老法師《淨土大經解演義》　　檔名：</w:t>
      </w:r>
      <w:r>
        <w:t xml:space="preserve">29-506-0026 </w:t>
      </w:r>
    </w:p>
    <w:p w14:paraId="5E0ACC72" w14:textId="77777777" w:rsidR="006008DA" w:rsidRDefault="006008DA">
      <w:pPr>
        <w:pStyle w:val="a3"/>
      </w:pPr>
      <w:r>
        <w:t xml:space="preserve">　　《無量壽經．三輩往生》中，這是經裡面說的，雖然行有優劣，行是說修行，這個修行就是念佛的功夫有淺深不同。功夫深的這是優，功夫深，能念到事一心、念到理一心，這個功夫深；劣的，這是講功夫成片。其實功夫成片也有優劣不等，但是最低限度總得要這句佛號能把煩惱伏住才行，伏不住就沒有功夫。能夠伏住，這是功夫最淺的，雖然最淺，它管用。臨終的時候還能伏得住，他就肯定往生。但是這裡面有一句非常重要的話，那都是「發菩提心」，如果沒有菩提心，功夫再好也不能往生，這是我們必須要知道的。</w:t>
      </w:r>
      <w:r>
        <w:t xml:space="preserve"> </w:t>
      </w:r>
    </w:p>
    <w:p w14:paraId="5F521AFD" w14:textId="77777777" w:rsidR="006008DA" w:rsidRDefault="006008DA">
      <w:pPr>
        <w:pStyle w:val="a3"/>
      </w:pPr>
      <w:r>
        <w:t xml:space="preserve">　　什麼叫菩提心？他說「此無上菩提心，即是願作佛心」，這句話很重要。蕅益大師在《彌陀要解》裡面告訴我們，能不能往生，全在信願之有無，這個願就是此地講的願作佛心，這個願重要！你到西方極樂世界去幹什麼？是去作佛的，不是為別的，到那個地方去，是為了明心見性而去的。禪宗裡面說大徹大悟，明心見性，見性成佛，禪宗之外，八萬四千法門，哪一個法門不是以這個為目標？所以佛在大乘經裡面講，「法門平等，無有高下」，這話是真的，因為八萬四千法門，門門到最後都是明心見性。淨土宗也不例外，淨土宗往生到西方極樂世界，是的，是帶業往生，沒開悟！到什麼時候開悟？到極樂世界見了阿彌陀佛之後準開悟，古人講「但得見彌陀，何愁不開悟」，這是淨宗的殊勝。八萬四千法門任何一門，要是不開悟、不見性，不算成就。唯獨淨宗只要往生，往生品位再差，同居土下下品往生，有沒有開悟？沒開悟；可是雖沒有開悟，阿彌陀佛在四十八願裡面告訴我們，「皆作阿惟越致菩薩」，阿惟越致菩薩是大徹大悟，明心見性了。這一個煩惱沒斷，沒開悟，到極樂世界何以有大徹大悟那樣的智慧、那樣的德能、那樣的受用，那是怎麼回事情？這個我們曉得，是阿彌陀佛本願威神的加持。你先沒有開悟不要緊，佛的智慧功德加持給</w:t>
      </w:r>
      <w:r>
        <w:t xml:space="preserve">你，所以你在西方世界的待遇，就跟七地菩薩沒有兩樣。這是難信之法。　　</w:t>
      </w:r>
    </w:p>
    <w:sectPr w:rsidR="006008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1246" w14:textId="77777777" w:rsidR="006008DA" w:rsidRDefault="006008DA" w:rsidP="00DF5EBF">
      <w:r>
        <w:separator/>
      </w:r>
    </w:p>
  </w:endnote>
  <w:endnote w:type="continuationSeparator" w:id="0">
    <w:p w14:paraId="430CB703" w14:textId="77777777" w:rsidR="006008DA" w:rsidRDefault="006008DA" w:rsidP="00DF5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AD0E" w14:textId="77777777" w:rsidR="006008DA" w:rsidRDefault="006008DA" w:rsidP="00DF5EBF">
      <w:r>
        <w:separator/>
      </w:r>
    </w:p>
  </w:footnote>
  <w:footnote w:type="continuationSeparator" w:id="0">
    <w:p w14:paraId="368532D5" w14:textId="77777777" w:rsidR="006008DA" w:rsidRDefault="006008DA" w:rsidP="00DF5E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BF"/>
    <w:rsid w:val="006008DA"/>
    <w:rsid w:val="00B519F4"/>
    <w:rsid w:val="00DF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EC6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E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E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E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E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