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F942" w14:textId="77777777" w:rsidR="00362AF1" w:rsidRDefault="00362AF1">
      <w:r>
        <w:t>念佛的真實利益</w:t>
      </w:r>
      <w:r>
        <w:t>—</w:t>
      </w:r>
      <w:r>
        <w:t>極樂世界的說明書　　（第一五八集）　　恭錄自</w:t>
      </w:r>
      <w:r>
        <w:t xml:space="preserve"> </w:t>
      </w:r>
      <w:r>
        <w:t>淨空老法師《淨土大經解演義》　　檔名：</w:t>
      </w:r>
      <w:r>
        <w:t xml:space="preserve">29-506-0158 </w:t>
      </w:r>
    </w:p>
    <w:p w14:paraId="4727300B" w14:textId="77777777" w:rsidR="00362AF1" w:rsidRDefault="00362AF1">
      <w:pPr>
        <w:pStyle w:val="a3"/>
      </w:pPr>
      <w:r>
        <w:t xml:space="preserve">　　念阿彌陀佛也是業，隨業流轉講得通，最後一念是阿彌陀佛的話，你就到極樂世界去了。最後一念貪心起來，不管貪什麼，貪名、貪利，只要貪心起來，餓鬼道去了；如果瞋恚心起來，最後一念是瞋恚心，地獄道去了；愚痴，糊裡糊塗，那就到畜生道去了；最後一念念的是仁義道德、是五倫五常，人道來了，上品十善業道生欲界天，你看都在最後一念。這就是讓我們在平常去修養心態，也要像極樂世界的人一樣，在日常生活當中，無論是什麼環境，順境也好，是逆境也好，我們周邊的人，善人也好，惡人也好，都能保持一個正念，不受外面境界的干擾，你就決定得生。那是什麼？無論什麼環境裡頭，都是阿彌陀佛，除阿彌陀佛之外什麼念頭都沒有。也不要想著這是善人、那是惡人，都不想。善人，阿彌陀佛，惡人，也是阿彌陀佛；順境，阿彌陀佛，逆境，也是阿彌陀佛，你就快樂無比了。這種念佛叫功夫成片。念佛人還會隨著境界轉，這個事情麻煩就很大了，順境你生歡喜心，逆境裡頭有怨恨，這樣念佛，極樂世界去不了，念一輩子佛，來生還是搞六道輪迴，這不能不知道。</w:t>
      </w:r>
      <w:r>
        <w:t xml:space="preserve"> </w:t>
      </w:r>
    </w:p>
    <w:p w14:paraId="456AF262" w14:textId="77777777" w:rsidR="00362AF1" w:rsidRDefault="00362AF1">
      <w:pPr>
        <w:pStyle w:val="a3"/>
      </w:pPr>
      <w:r>
        <w:t xml:space="preserve">　　所以經上的標準跟我們講得很清楚，在經題上，標準是什麼？清淨、平等、覺。清淨平等覺就是阿彌陀佛，阿彌陀佛就是清淨平等覺。所以我們念佛要把自己的清淨心、平等心、覺而不迷念出來，這就能往生。要多久的時間？每個人根性不一樣，利根的人，幾天、幾個月他就成就；根性差一等的人，我們從《往生傳》、從《淨土聖賢錄》裡面去看，一大半以上，不超過三年，能到這個境界。尤其現在，同學們你們知道比我多，我不接觸媒體，很多事情不知道，我都聽你們說的，這個世界上到處災難很多，有什麼值得留戀？在現在講移民，為什麼不移民到極樂世界去？好事情！阿彌陀佛歡迎我們去，沒有拒絕。這一部經就是釋迦牟尼佛為我們介紹極樂世界的說明書，移民到西方極樂世界的說明書，依照這個裡面所說的，你就決定去得成。而且時間不會太長，我們在災難沒有爆發之前肯定就能去得成，它不需要很長的時間。記住，清淨平等覺，記住，把這個世間逆境、順境、善緣、惡緣統統放下。　　</w:t>
      </w:r>
    </w:p>
    <w:sectPr w:rsidR="00362A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5A411" w14:textId="77777777" w:rsidR="00362AF1" w:rsidRDefault="00362AF1" w:rsidP="00D6283C">
      <w:r>
        <w:separator/>
      </w:r>
    </w:p>
  </w:endnote>
  <w:endnote w:type="continuationSeparator" w:id="0">
    <w:p w14:paraId="411BE504" w14:textId="77777777" w:rsidR="00362AF1" w:rsidRDefault="00362AF1" w:rsidP="00D62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E2A8" w14:textId="77777777" w:rsidR="00362AF1" w:rsidRDefault="00362AF1" w:rsidP="00D6283C">
      <w:r>
        <w:separator/>
      </w:r>
    </w:p>
  </w:footnote>
  <w:footnote w:type="continuationSeparator" w:id="0">
    <w:p w14:paraId="4F9D1393" w14:textId="77777777" w:rsidR="00362AF1" w:rsidRDefault="00362AF1" w:rsidP="00D628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83C"/>
    <w:rsid w:val="00362AF1"/>
    <w:rsid w:val="00B519F4"/>
    <w:rsid w:val="00D6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B0C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8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8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8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8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