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6B258" w14:textId="77777777" w:rsidR="00666450" w:rsidRDefault="00666450">
      <w:r>
        <w:t>念佛的真實利益</w:t>
      </w:r>
      <w:r>
        <w:t>—</w:t>
      </w:r>
      <w:r>
        <w:t>往生西方極樂世界的條件　　（第二二六集）　　恭錄自</w:t>
      </w:r>
      <w:r>
        <w:t xml:space="preserve"> </w:t>
      </w:r>
      <w:r>
        <w:t>淨空老法師《淨土大經解演義》　　檔名：</w:t>
      </w:r>
      <w:r>
        <w:t xml:space="preserve">29-506-0226 </w:t>
      </w:r>
    </w:p>
    <w:p w14:paraId="7834A2CC" w14:textId="77777777" w:rsidR="00666450" w:rsidRDefault="00666450">
      <w:pPr>
        <w:pStyle w:val="a3"/>
      </w:pPr>
      <w:r>
        <w:t xml:space="preserve">　　「《教行信證文類》曰：言一念者，信心無二心，故曰一念，是名一心。一心則清淨報土真因也。」這句話說得好，清淨報土是說的什麼？極樂世界，極樂世界是清淨報土，它的真因就是一心。所以淨宗常說「心淨則佛土淨」，我們往生西方極樂是這麼一個條件去的，不是你念佛念多少，與念多少沒有關係。這個問題後面還有很長很長的經論，我們來討論這個問題。要緊的，一句也要一心，句句都是一心，這功夫成了，恭喜你，你作佛了。這個功夫成了，三種真實就現前，真實之際，真心現前，真實智慧現前、真實利益現前，真實智慧是自度圓滿，真實之利是度他圓滿。你看看，這還得了嗎？所以這裡說得好，「信心無二心」，貪瞋痴慢疑斷掉了，我們這樣說法大家就更清楚，講得太粗、太明顯了。你心裡還有貪瞋痴慢疑，你就不是真信；真信，貪瞋痴慢疑統統斷了。真信是一念、是一心，那是真信。這個標準都很高，但是它是真的，它不是假的。「正如本經一心結得大願」，這是阿彌陀佛建造西方極樂世界，「顯一心乃報土真因」，極樂世界從哪裡建？從一心建的，從真心建的，所以我們用真心跟極樂世界完全相應。　　</w:t>
      </w:r>
    </w:p>
    <w:sectPr w:rsidR="006664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417EE" w14:textId="77777777" w:rsidR="00666450" w:rsidRDefault="00666450" w:rsidP="00B33B05">
      <w:r>
        <w:separator/>
      </w:r>
    </w:p>
  </w:endnote>
  <w:endnote w:type="continuationSeparator" w:id="0">
    <w:p w14:paraId="35D35C77" w14:textId="77777777" w:rsidR="00666450" w:rsidRDefault="00666450" w:rsidP="00B33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DC955" w14:textId="77777777" w:rsidR="00666450" w:rsidRDefault="00666450" w:rsidP="00B33B05">
      <w:r>
        <w:separator/>
      </w:r>
    </w:p>
  </w:footnote>
  <w:footnote w:type="continuationSeparator" w:id="0">
    <w:p w14:paraId="0C2A2570" w14:textId="77777777" w:rsidR="00666450" w:rsidRDefault="00666450" w:rsidP="00B33B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05"/>
    <w:rsid w:val="00666450"/>
    <w:rsid w:val="00B33B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F45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B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B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B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B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