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E54A" w14:textId="77777777" w:rsidR="001C5845" w:rsidRDefault="001C5845">
      <w:r>
        <w:t>念佛的真實利益</w:t>
      </w:r>
      <w:r>
        <w:t>—</w:t>
      </w:r>
      <w:r>
        <w:t>一朝覺悟，直取極樂　　（第二三四集）　　恭錄自</w:t>
      </w:r>
      <w:r>
        <w:t xml:space="preserve"> </w:t>
      </w:r>
      <w:r>
        <w:t>淨空老法師《淨土大經解演義》　　檔名：</w:t>
      </w:r>
      <w:r>
        <w:t xml:space="preserve">29-506-0234 </w:t>
      </w:r>
    </w:p>
    <w:p w14:paraId="56B4374D" w14:textId="77777777" w:rsidR="001C5845" w:rsidRDefault="001C5845">
      <w:pPr>
        <w:pStyle w:val="a3"/>
      </w:pPr>
      <w:r>
        <w:t xml:space="preserve">　　甚至於從閻羅王那裡來的這些惡道眾生，我們知道，閻羅王所管的地獄很多、很複雜，無論從哪個地獄出來，如果遇到有緣的眾生。這些我們都能夠理解，這些墮在惡道眾生，過去生中都是學過佛的，他要不學過佛，他沒有這個因，別人幫不上忙。哪些人幫他忙？代表的人物叫地藏菩薩。諸位要知道，地藏菩薩不是一個人，凡是修地藏法門的人，發願到惡道裡面去教化眾生，都叫地藏菩薩，所以地藏菩薩是個共同的通號，可多了。發願學地藏菩薩的人很多，慈悲心特重、孝心很重，這跟地藏菩薩就有緣，在各種不同的地獄，這前面講了很多，裡面教化有緣的人。有緣，跟菩薩有緣，阿賴耶裡頭已經有佛法的種子，他在地獄受苦，痛苦到極處，這個人叫他念佛求生淨土，他聽了他就真念阿彌陀佛，真發心求生淨土，他真去了，你看，就那麼快，一念之間！有業障很重的，提醒一次，他聽到了，因為太苦了，他還沒感覺到，還沒有能接受，那就再受受苦，菩薩在適當的機緣，遇到的時候，再提醒他一次。有人經很多次的提醒，覺悟了，一覺悟就離開。地獄的壽命很長，很長是什麼？沒有遇到緣就很長，如果遇到這些緣，他很快就脫離。從地獄可以直接往生到極樂世界，你說這個法門多殊勝！</w:t>
      </w:r>
      <w:r>
        <w:t xml:space="preserve"> </w:t>
      </w:r>
    </w:p>
    <w:p w14:paraId="5ABA62B5" w14:textId="77777777" w:rsidR="001C5845" w:rsidRDefault="001C5845">
      <w:pPr>
        <w:pStyle w:val="a3"/>
      </w:pPr>
      <w:r>
        <w:t xml:space="preserve">　　地獄眾生尚且那麼容易往生，何況在人道！人道裡面最艱難的，為什麼不能往生？是自己造成的，自己認為眼前環境還不錯，很好，貪戀這個環境，捨不得離開，這愚痴，所以你念佛沒有感應，你念佛不能馬上往生。經為什麼要多讀？為什麼要多聽？用意在哪裡？用意叫你能放得下，叫你真正了解這個世間一切的一切全是虛妄的。古人說了兩句話說得好，「生不帶來，死不帶去」，這兩句話說得很有道理，你來投生的時候，你什麼都沒帶來，你將來走的時候一樣帶不去。告訴你這全假的，全是暫時給你看看的，你何必執著！聽經真正的意思就在此地，真搞明白、搞清楚，可以不要聽經，老老實實念這一句阿彌陀佛就行了。如果放不下，那就非聽經不可，為什麼？你沒搞清楚。真搞清楚，沒有不肯放下的，不要別人勸，自動就放下了。這一放下，感應就現前，「一念相應一念佛，念念相應念念佛」，不能不放下。　　</w:t>
      </w:r>
    </w:p>
    <w:sectPr w:rsidR="001C58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39000" w14:textId="77777777" w:rsidR="001C5845" w:rsidRDefault="001C5845" w:rsidP="00DD2590">
      <w:r>
        <w:separator/>
      </w:r>
    </w:p>
  </w:endnote>
  <w:endnote w:type="continuationSeparator" w:id="0">
    <w:p w14:paraId="495723B6" w14:textId="77777777" w:rsidR="001C5845" w:rsidRDefault="001C5845" w:rsidP="00DD2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237E2" w14:textId="77777777" w:rsidR="001C5845" w:rsidRDefault="001C5845" w:rsidP="00DD2590">
      <w:r>
        <w:separator/>
      </w:r>
    </w:p>
  </w:footnote>
  <w:footnote w:type="continuationSeparator" w:id="0">
    <w:p w14:paraId="358FA383" w14:textId="77777777" w:rsidR="001C5845" w:rsidRDefault="001C5845" w:rsidP="00DD2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90"/>
    <w:rsid w:val="001C5845"/>
    <w:rsid w:val="00B519F4"/>
    <w:rsid w:val="00DD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95D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