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072C" w14:textId="77777777" w:rsidR="00001CCF" w:rsidRDefault="00001CCF">
      <w:r>
        <w:t>念佛的真實利益</w:t>
      </w:r>
      <w:r>
        <w:t>—</w:t>
      </w:r>
      <w:r>
        <w:t>念佛求生淨土的心，即是無上菩提心　　（第二六六集）　　恭錄自</w:t>
      </w:r>
      <w:r>
        <w:t xml:space="preserve"> </w:t>
      </w:r>
      <w:r>
        <w:t>淨空老法師《淨土大經解演義》　　檔名：</w:t>
      </w:r>
      <w:r>
        <w:t xml:space="preserve">29-506-0266 </w:t>
      </w:r>
    </w:p>
    <w:p w14:paraId="352F163A" w14:textId="77777777" w:rsidR="00001CCF" w:rsidRDefault="00001CCF">
      <w:pPr>
        <w:pStyle w:val="a3"/>
      </w:pPr>
      <w:r>
        <w:t xml:space="preserve">　　下面給我們講「發菩提心」，這一句非常重要。你看本經「三輩往生」這一品裡頭，「往生正因」那一品也講到，上中下三輩都是發菩提心，一向專念。由此可知，只有一向專念，沒有發菩提心，不能往生。事實上我們看到，古人的記載，像《淨土聖賢錄》、《往生傳》，現代的《往生傳》，我們看到很多。甚至於我們也曾經看到過，不少念佛往生的人，他是真往生，他不是假的，他往生沒有生病，走的時候好好的，告訴大家，阿彌陀佛來接引我，我跟佛去了。這樣自在走的，這不是假的。這些人多半是什麼人？多半是現在講沒有文化，不認識字，沒有念過書的。他會念經，他會背，但是他不認識字，我們看到很多。你要問他什麼叫發菩提心，他不懂，他不知道，可是他念佛真往生了，一點都不假。</w:t>
      </w:r>
      <w:r>
        <w:t xml:space="preserve"> </w:t>
      </w:r>
    </w:p>
    <w:p w14:paraId="6A7470A1" w14:textId="77777777" w:rsidR="00001CCF" w:rsidRDefault="00001CCF">
      <w:pPr>
        <w:pStyle w:val="a3"/>
      </w:pPr>
      <w:r>
        <w:t xml:space="preserve">　　這個問題實在講也困惑我們很多年，這個念佛的人他沒發菩提心，怎麼會往生？跟我們這部經裡面講的往生的條件不符合。蕅益大師把這個問題替我們解決了，《阿彌陀經要解》裡，蕅益大師說，念佛求生淨土這個心就是無上菩提心。從來沒有人講過的，我們想想有沒有道理？你細心去想，愈想愈有道理。他為什麼念佛？念佛無非就是想求生極樂世界，去見阿彌陀佛。你要是給他講菩提心，菩提心有體、有相、有作用，菩提心的體是直心、是至誠心，他不懂，他不曉得這是什麼。菩提心的自受用是深心，他受用是慈悲心，你跟他講這些他都不懂，把他講糊塗了。他就是一心念佛，求生極樂世界，見阿彌陀佛。蕅益大師講得好！一心嚮往，嚮往著極樂世界，嚮往著阿彌陀佛，不但是菩提心，無上菩提心，所以他真往生了。真發這種心的人，得有個形象，像是什麼？這人非常慈悲，這個人沒有自己，念念為別人想，念念希望別人認識極樂世界，認識阿彌陀佛，跟他一樣。對於這個世間的事情他不放在心上，真正做到隨緣妙用。隨緣是恆順眾生，妙用是什麼？不起心、不動念、不分別、不執著，就是妙用。不起心動念縱然他沒有辦法做到，不起心、不動念沒辦法做到，不分別、不執著做到了，你就知道他心多清淨！我們經題上「清淨平等覺」，覺</w:t>
      </w:r>
      <w:r>
        <w:t xml:space="preserve">沒有做到，清淨平等做到了，當然往生。　　</w:t>
      </w:r>
    </w:p>
    <w:sectPr w:rsidR="00001C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02CFD" w14:textId="77777777" w:rsidR="00001CCF" w:rsidRDefault="00001CCF" w:rsidP="001E282C">
      <w:r>
        <w:separator/>
      </w:r>
    </w:p>
  </w:endnote>
  <w:endnote w:type="continuationSeparator" w:id="0">
    <w:p w14:paraId="34F3AA97" w14:textId="77777777" w:rsidR="00001CCF" w:rsidRDefault="00001CCF" w:rsidP="001E2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759AD" w14:textId="77777777" w:rsidR="00001CCF" w:rsidRDefault="00001CCF" w:rsidP="001E282C">
      <w:r>
        <w:separator/>
      </w:r>
    </w:p>
  </w:footnote>
  <w:footnote w:type="continuationSeparator" w:id="0">
    <w:p w14:paraId="0505FD91" w14:textId="77777777" w:rsidR="00001CCF" w:rsidRDefault="00001CCF" w:rsidP="001E28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2C"/>
    <w:rsid w:val="00001CCF"/>
    <w:rsid w:val="001E28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EB4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28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28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28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28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