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DAAB" w14:textId="77777777" w:rsidR="00A74848" w:rsidRDefault="00A74848">
      <w:r>
        <w:t>念佛的真實利益</w:t>
      </w:r>
      <w:r>
        <w:t>—</w:t>
      </w:r>
      <w:r>
        <w:t>為什麼不要廣學多聞　　（第三六五集）　　恭錄自</w:t>
      </w:r>
      <w:r>
        <w:t xml:space="preserve"> </w:t>
      </w:r>
      <w:r>
        <w:t>淨空老法師《淨土大經解演義》　　檔名：</w:t>
      </w:r>
      <w:r>
        <w:t xml:space="preserve">29-506-0365 </w:t>
      </w:r>
    </w:p>
    <w:p w14:paraId="409693C2" w14:textId="77777777" w:rsidR="00A74848" w:rsidRDefault="00A74848">
      <w:pPr>
        <w:pStyle w:val="a3"/>
      </w:pPr>
      <w:r>
        <w:t xml:space="preserve">　　「慧者，《大乘義章二》云：據行方便，觀達為慧。就實以論，真心體明，自性無闇，目之為慧。」念老說，「是乃以明自本心，見自本性，方名慧也。」據行方便，據是依教奉行，佛教我們持戒，佛教我們行六波羅蜜，這都是方便，方便也就是隨緣。《還源觀》上四德第一句「隨緣妙用」，妙用是慧，妙用是觀達。慧觀通達，觀的是什麼？觀的是自性空寂，一一法了不可得。了不可得，為什麼還要行？我們今天的行是度自己，我們迷在方便裡面出不來。所以我們要依一切諸佛所走的道路，戒定慧三學，走出六道輪迴，走出十法界。你不循著這個路去走，自己想去找一條路，你就錯了。古往今來十方世界所有菩薩都走這一條路，你為什麼不走？你要新創一條道路，你走不通。為什麼他們這個路是正路？你想想就曉得，他們這個路是什麼路？放下起心動念、分別執著這麼一條道路，你還能找到第二條路嗎？沒有了，就這麼一條路。不放下，那有千萬條路，無量無邊的道路；放下就一條路，這條路通入自性，通往大般涅槃。所以，放下就是！你搞多了、搞雜了，你害了你自己。</w:t>
      </w:r>
      <w:r>
        <w:t xml:space="preserve"> </w:t>
      </w:r>
    </w:p>
    <w:p w14:paraId="6BAF57CF" w14:textId="77777777" w:rsidR="00A74848" w:rsidRDefault="00A74848">
      <w:pPr>
        <w:pStyle w:val="a3"/>
      </w:pPr>
      <w:r>
        <w:t xml:space="preserve">　　我們也看到古來一些祖師大德，也廣學多聞，難道我們不能學他嗎？不是不能，你有人家的本事就行，廣學多聞沒障礙；沒有人家那個本事，一學就壞了。什麼本事？前面剛剛講過的，馬鳴菩薩教的本事不著相，言說相（文字相）、名字相、心緣相全不著。那是什麼？學而無學、無學而學，千經萬論對你只有好處，沒有壞處。為什麼？它不障礙你了，你不受它的影響。這個自己可以試試看，我這一天，今天讀了兩種經、三種論，你腦子裡是不是有這些東西？有了，全著了，那就壞了，那你就錯了。讀了這麼多東西之後，智慧開了，一點相都沒著，那就行，對了。只開智慧，不落印象，你一天看十種、二十種、一百種、兩百種，沒關係。如果沒有這個本事，還會著相的話，你只能著一個相，為什麼？好除掉它，容易放下。執著太多，放不下，不就這麼回事情嗎？所以對絕對大多數的人說，一門深入、長時薰修；能夠離一切相，即一切法，就不在這個範圍之內。這裡據行方便，觀達為慧，你自己要懂得，要有方便，要有智慧。　　</w:t>
      </w:r>
    </w:p>
    <w:sectPr w:rsidR="00A748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4C18C" w14:textId="77777777" w:rsidR="00A74848" w:rsidRDefault="00A74848" w:rsidP="00547DC5">
      <w:r>
        <w:separator/>
      </w:r>
    </w:p>
  </w:endnote>
  <w:endnote w:type="continuationSeparator" w:id="0">
    <w:p w14:paraId="3BEAAC40" w14:textId="77777777" w:rsidR="00A74848" w:rsidRDefault="00A74848" w:rsidP="00547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36CC" w14:textId="77777777" w:rsidR="00A74848" w:rsidRDefault="00A74848" w:rsidP="00547DC5">
      <w:r>
        <w:separator/>
      </w:r>
    </w:p>
  </w:footnote>
  <w:footnote w:type="continuationSeparator" w:id="0">
    <w:p w14:paraId="3FF3AD7E" w14:textId="77777777" w:rsidR="00A74848" w:rsidRDefault="00A74848" w:rsidP="00547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C5"/>
    <w:rsid w:val="00547DC5"/>
    <w:rsid w:val="00A748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83C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D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D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D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D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