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412C" w14:textId="77777777" w:rsidR="002E0F4C" w:rsidRDefault="002E0F4C">
      <w:r>
        <w:t>念佛的真實利益</w:t>
      </w:r>
      <w:r>
        <w:t>—</w:t>
      </w:r>
      <w:r>
        <w:t>經典跟阿彌陀佛佛號是我們的護身符　　（第三九四集）　　恭錄自</w:t>
      </w:r>
      <w:r>
        <w:t xml:space="preserve"> </w:t>
      </w:r>
      <w:r>
        <w:t>淨空老法師《淨土大經解演義》　　檔名：</w:t>
      </w:r>
      <w:r>
        <w:t xml:space="preserve">29-506-0394 </w:t>
      </w:r>
    </w:p>
    <w:p w14:paraId="26FF0C21" w14:textId="77777777" w:rsidR="002E0F4C" w:rsidRDefault="002E0F4C">
      <w:pPr>
        <w:pStyle w:val="a3"/>
      </w:pPr>
      <w:r>
        <w:t xml:space="preserve">　　批評戒律就是毀謗佛法，這樣的人很多，像我這種心態的人，初學的時候，這社會上很多，沒人教。「或稍能持戒，便增我慢，自讚毀他，侈談他人過失，是皆以病為藥者也。」這個人很多，古時候就有，他持戒持得很好，因戒得定，因定開慧，這是正常的。他戒持得很好，他偏差了，他走上岔路，為什麼？戒持得很好，他傲慢、驕傲，認為什麼？別人沒有持戒，別人不如我，你看我比他強，他不如我。處處罵別人犯戒、破戒，批評別人，自讚毀他，這個錯了。中國古人說一句話說得好，「學問深時意氣平」，愈是有道德、有修養、有學問的人心平氣和，縱然看到別人重大的過失，他也若無其事。你從這裡看修養。自己稍稍能持一點戒律就自以為很了不起，這個世間人、出家的都不持戒律，他自己認為高高在上，錯了。人家持戒是得定開智慧，他持戒是得傲慢、得煩惱，這不叫大錯特錯了嗎？不持戒還好，這一持戒都到阿鼻地獄去了。所以戒定慧要連起來看，持戒沒有得定，你持戒沒有功夫，有功夫肯定得三昧，定有功夫肯定開智慧。持戒、修定最後都變成煩惱，那不叫大錯特錯！不是戒律錯，是你用心錯了。你持戒也沒錯，你持戒那個心錯了，自私自利、貢高我慢、損人利己這個念頭沒放下。</w:t>
      </w:r>
      <w:r>
        <w:t xml:space="preserve"> </w:t>
      </w:r>
    </w:p>
    <w:p w14:paraId="21810AFB" w14:textId="77777777" w:rsidR="002E0F4C" w:rsidRDefault="002E0F4C">
      <w:pPr>
        <w:pStyle w:val="a3"/>
      </w:pPr>
      <w:r>
        <w:t xml:space="preserve">　　所以學佛，我們一定要記住，經教一天都不能離開，離開經教你保不住自己，你肯定被環境影響，肯定被環境俘虜。因為今天的環境太複雜，誘惑的力量太強大，名聞利養的誘惑，財色名利的誘惑，你能夠抵得住嗎？除了天天聽經，天天讀經，時時刻刻提醒自己，沒第二個辦法。閉關不行，住山也不行，還是會胡思亂想。尤其現在，再高的山還能收看電視，電視是第一號的污染。所以，依止善知識，不離開善知識，這是最聰明的選擇，善知識就是經典，展開經卷如對佛菩薩。我們今天展開《無量壽經》，面對著釋迦牟尼佛、阿彌陀佛，面對著諸大菩薩、夏蓮居老居士、黃念祖老居士，天天跟這些人在一起，就錯不了。一天不聽經，一天不讀經，就跟他們沒見面。三天、五天不見面，心就變了，就會動搖，你說多可怕！所以經典跟阿彌陀佛佛號是我們的護身符，決定不能離開。　　</w:t>
      </w:r>
    </w:p>
    <w:sectPr w:rsidR="002E0F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475A" w14:textId="77777777" w:rsidR="002E0F4C" w:rsidRDefault="002E0F4C" w:rsidP="00AE2E73">
      <w:r>
        <w:separator/>
      </w:r>
    </w:p>
  </w:endnote>
  <w:endnote w:type="continuationSeparator" w:id="0">
    <w:p w14:paraId="638609C4" w14:textId="77777777" w:rsidR="002E0F4C" w:rsidRDefault="002E0F4C" w:rsidP="00AE2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1DC2" w14:textId="77777777" w:rsidR="002E0F4C" w:rsidRDefault="002E0F4C" w:rsidP="00AE2E73">
      <w:r>
        <w:separator/>
      </w:r>
    </w:p>
  </w:footnote>
  <w:footnote w:type="continuationSeparator" w:id="0">
    <w:p w14:paraId="4A3D6984" w14:textId="77777777" w:rsidR="002E0F4C" w:rsidRDefault="002E0F4C" w:rsidP="00AE2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73"/>
    <w:rsid w:val="002E0F4C"/>
    <w:rsid w:val="00AE2E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28F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