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06D8B" w14:textId="77777777" w:rsidR="00151C97" w:rsidRDefault="00151C97">
      <w:r>
        <w:t>念佛的真實利益</w:t>
      </w:r>
      <w:r>
        <w:t>—</w:t>
      </w:r>
      <w:r>
        <w:t>極樂世界永離三苦　　（第四五二集）　　恭錄自</w:t>
      </w:r>
      <w:r>
        <w:t xml:space="preserve"> </w:t>
      </w:r>
      <w:r>
        <w:t>淨空老法師《淨土大經解演義》　　檔名：</w:t>
      </w:r>
      <w:r>
        <w:t xml:space="preserve">29-506-0452 </w:t>
      </w:r>
    </w:p>
    <w:p w14:paraId="597717D4" w14:textId="77777777" w:rsidR="00151C97" w:rsidRDefault="00151C97">
      <w:pPr>
        <w:pStyle w:val="a3"/>
      </w:pPr>
      <w:r>
        <w:t xml:space="preserve">　　我們再往下面看，「上之三苦」，上面說的這三種苦，苦苦、壞苦、行苦，「極樂永離」，極樂世界上沒有。「如《疏鈔》曰」，《疏鈔》是蓮池大師的，「彼國離欲清淨，則無苦苦。」彼國是極樂世界，這個地方所有往生的人都離欲，這是重要的信息。你的五欲六塵、貪瞋痴慢疑要沒離，你的心就不清淨，心不清淨就不能往生。我們就知道，每一個往生西方極樂世界的人都放下了。世出世間一切法全放下，清淨心現前，所以極樂世界沒有苦苦。苦苦是從欲來的，一般人講情欲，情是迷，覺悟了就不叫情，叫智慧。所以，智慧跟感情是一個體，兩個作用，迷了就變成情執，悟了就變成智慧；是一個東西，迷悟起兩種不同作用。</w:t>
      </w:r>
      <w:r>
        <w:t xml:space="preserve"> </w:t>
      </w:r>
    </w:p>
    <w:p w14:paraId="48DA11E8" w14:textId="77777777" w:rsidR="00151C97" w:rsidRDefault="00151C97">
      <w:pPr>
        <w:pStyle w:val="a3"/>
      </w:pPr>
      <w:r>
        <w:t xml:space="preserve">　　「依正常然，則無壞苦。」我們就用色界天來做比喻，色界天不能常然。像我們這個世間，你蓋一座富麗堂皇的宮殿，建好了，這個宮殿能用多少年？中國古代的建築物非常講求，蓋一棟房子至少可以用三百年，他要照顧好多代。一百年算四代，三百年就是十幾代。中國人講家具叫紅木家具，桌椅板凳、床鋪，紅木家具至少用一百年。中國人懂得節儉，節儉是美德，是性德，跟外國人不一樣。外國人講究美觀，他常常改變，房屋禁不起風吹雨打；中國古代的四合院，現在有存在的，有一千多年的，還挺實用。縱然是一千年、二千年，它總會壞掉，壞是不是十年十年的壞？不是的，一天比一天老舊，這叫無常，這叫行苦，叫壞苦。我們身體也是一樣，縱然活上一百年，一天比一天老，天天都在變化。累積到十年，你看十年跟第一年的時候完全不一樣，二十年跟十年看又不一樣，叫壞苦，行苦，不能保持。可是極樂世界無論是依報、是正報永遠不變，阿彌陀佛建立這個道場到現在十劫，這個時間多長！十劫的今天跟當初剛剛建立的一樣，一絲毫差異都沒有，這叫做沒有壞苦，永遠不變，永遠不壞。　　</w:t>
      </w:r>
    </w:p>
    <w:sectPr w:rsidR="00151C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56A19" w14:textId="77777777" w:rsidR="00151C97" w:rsidRDefault="00151C97" w:rsidP="00356008">
      <w:r>
        <w:separator/>
      </w:r>
    </w:p>
  </w:endnote>
  <w:endnote w:type="continuationSeparator" w:id="0">
    <w:p w14:paraId="209D5F15" w14:textId="77777777" w:rsidR="00151C97" w:rsidRDefault="00151C97" w:rsidP="00356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7B06D" w14:textId="77777777" w:rsidR="00151C97" w:rsidRDefault="00151C97" w:rsidP="00356008">
      <w:r>
        <w:separator/>
      </w:r>
    </w:p>
  </w:footnote>
  <w:footnote w:type="continuationSeparator" w:id="0">
    <w:p w14:paraId="0539B4D9" w14:textId="77777777" w:rsidR="00151C97" w:rsidRDefault="00151C97" w:rsidP="003560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008"/>
    <w:rsid w:val="00151C97"/>
    <w:rsid w:val="0035600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6A7BB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60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60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60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60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