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3B39" w14:textId="77777777" w:rsidR="0013725C" w:rsidRDefault="0013725C">
      <w:r>
        <w:t>念佛的真實利益</w:t>
      </w:r>
      <w:r>
        <w:t>—</w:t>
      </w:r>
      <w:r>
        <w:t>移民極樂世界的條件　　（第四七二集）　　恭錄自</w:t>
      </w:r>
      <w:r>
        <w:t xml:space="preserve"> </w:t>
      </w:r>
      <w:r>
        <w:t>淨空老法師《淨土大經解演義》　　檔名：</w:t>
      </w:r>
      <w:r>
        <w:t xml:space="preserve">29-506-0472 </w:t>
      </w:r>
    </w:p>
    <w:p w14:paraId="0C25ED06" w14:textId="77777777" w:rsidR="0013725C" w:rsidRDefault="0013725C">
      <w:pPr>
        <w:pStyle w:val="a3"/>
      </w:pPr>
      <w:r>
        <w:t xml:space="preserve">　　「於人，如《論註》云：諸往生者，無不淨色，無不淨心，畢竟皆得清淨平等無為法身」，這是講極樂世界的大眾。這大眾從哪來的？全是十方世界移民到那邊去的；換句話說，西方極樂世界沒土著，統統都是移民過去的。每一個移民都要通過阿彌陀佛的審查，阿彌陀佛要不同意，你就不能往生。審查的條件，絕對的條件只有一個，叫心淨則佛土淨。我們修行，修行就念佛，念佛要把清淨心念出來，就決定得生。我也常說，清淨心現前，生凡聖同居土，平等心現前，生方便有餘土，覺悟的心，就是大徹大悟的心現前，生實報莊嚴土，清淨平等覺。從事上講，信願行，善根福德因緣，這從事上講。實在說，再給你細說，我們淨宗學會成立，淨宗緣起提出五個科目，那是標準。淨業三福是修學淨宗最高指導原則，一定要遵守，你不遵守這個原則，你不能往生。佛講得很清楚，「三世諸佛，淨業正因」，你說多重要。</w:t>
      </w:r>
      <w:r>
        <w:t xml:space="preserve"> </w:t>
      </w:r>
    </w:p>
    <w:p w14:paraId="2602C7A3" w14:textId="77777777" w:rsidR="0013725C" w:rsidRDefault="0013725C">
      <w:pPr>
        <w:pStyle w:val="a3"/>
      </w:pPr>
      <w:r>
        <w:t xml:space="preserve">　　第一句，「孝養父母，奉事師長，慈心不殺」。這第一條是什麼？第一條是人天善。你人天善都沒有，你怎麼能到極樂世界去？第二條是二乘善，就是聲聞、緣覺，「受持三皈，具足眾戒，不犯威儀」，二乘善，生方便有餘土。人天善，生凡聖同居土。第三條是大乘，「發菩提心，深信因果，讀誦大乘，勸進行者」，這種人是生實報莊嚴土。經文上講得清清楚楚、明明白白，我能夠做到多少心裡有數，知次第。曉得我是什麼樣身分，我生到西方極樂世界是在哪個等級，清清楚楚。不會有增上慢，不會生起貢高我慢、嫉妒，不會生這種心。永遠住在清淨，至少都是住在清淨，清淨心、平等心，無為法身那就是生實報土。但是西方極樂世界，因為得到阿彌陀佛本願威神加持，所以凡聖同居土也是清淨平等無為法身。這不是你功夫修成的，是阿彌陀佛加持你的，得阿彌陀佛保佑的。阿彌陀佛恩德超過父母，我們父母沒有辦法這樣對待我們，彌陀能這樣對待我們，我們要不往生，我們就對不起阿彌陀佛。「此正顯性地平等、法海一味之密意，是為莊嚴性功德成就。」這裡面講了天、講了地、講了人，我們中國俗話所講的天時地利人和，你看在這一句經文裡頭透出來信息。　　</w:t>
      </w:r>
    </w:p>
    <w:sectPr w:rsidR="001372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1900" w14:textId="77777777" w:rsidR="0013725C" w:rsidRDefault="0013725C" w:rsidP="003D06E6">
      <w:r>
        <w:separator/>
      </w:r>
    </w:p>
  </w:endnote>
  <w:endnote w:type="continuationSeparator" w:id="0">
    <w:p w14:paraId="6F615DD7" w14:textId="77777777" w:rsidR="0013725C" w:rsidRDefault="0013725C" w:rsidP="003D0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5C4D" w14:textId="77777777" w:rsidR="0013725C" w:rsidRDefault="0013725C" w:rsidP="003D06E6">
      <w:r>
        <w:separator/>
      </w:r>
    </w:p>
  </w:footnote>
  <w:footnote w:type="continuationSeparator" w:id="0">
    <w:p w14:paraId="7884CFC9" w14:textId="77777777" w:rsidR="0013725C" w:rsidRDefault="0013725C" w:rsidP="003D0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E6"/>
    <w:rsid w:val="0013725C"/>
    <w:rsid w:val="003D06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F07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