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1D9C" w14:textId="77777777" w:rsidR="00EF3CEE" w:rsidRDefault="00EF3CEE">
      <w:r>
        <w:t>念佛的真實利益</w:t>
      </w:r>
      <w:r>
        <w:t>—</w:t>
      </w:r>
      <w:r>
        <w:t>清淨心現清淨土　　（第四七七集）　　恭錄自</w:t>
      </w:r>
      <w:r>
        <w:t xml:space="preserve"> </w:t>
      </w:r>
      <w:r>
        <w:t>淨空老法師《淨土大經解演義》　　檔名：</w:t>
      </w:r>
      <w:r>
        <w:t xml:space="preserve">29-506-0477 </w:t>
      </w:r>
    </w:p>
    <w:p w14:paraId="5F69CEE6" w14:textId="77777777" w:rsidR="00EF3CEE" w:rsidRDefault="00EF3CEE">
      <w:pPr>
        <w:pStyle w:val="a3"/>
      </w:pPr>
      <w:r>
        <w:t xml:space="preserve">　　我們知道，到達西方極樂世界，空間維次不存在，沒有了，時間也沒有了。空間沒有了，距離沒有了；時間沒有了，先後沒有了。所以大乘教裡常常告訴我們一句話，我們不能夠疏忽，這句話很重要，在哪裡？就在當下，就是現前這一念，就是當下這一念。沒有過去、未來，也沒有此處他方。你看中峰禪師說得多妙，阿彌陀佛在哪裡？「我心即是阿彌陀佛，阿彌陀佛即是我心」，我跟阿彌陀佛一體。極樂世界在哪裡？「此方即是極樂，極樂即是此方」，我們看不到，他看到，他住這個地方是極樂世界，我們能相信。《華嚴經》上，我們也很熟悉，知道「境隨心轉」，清淨心現清淨土。所以這個地球上的災難，清淨心的人在地球上沒有看到災難。將來地球，水把整個大地都淹沒掉，那個清淨心的人看到大地全是琉璃，海水變成琉璃，街道變成黃金，走的路都變成黃金，黃金鋪地。在哪？就在這個地方，他看到了，我們沒看到，境隨心轉。佛在《遺教經》上說，在本經也說，「制心一處」，你只要把心放在一處，「無事不辦」，能量集中了。我們平常這個心散亂的，向十方跑散亂的，你能把這個心收回來變成一處，只有一個方向西方，這個力量就太大，什麼障礙都擋不住，它穿透了，像光一樣。</w:t>
      </w:r>
      <w:r>
        <w:t xml:space="preserve"> </w:t>
      </w:r>
    </w:p>
    <w:p w14:paraId="7933369A" w14:textId="77777777" w:rsidR="00EF3CEE" w:rsidRDefault="00EF3CEE">
      <w:pPr>
        <w:pStyle w:val="a3"/>
      </w:pPr>
      <w:r>
        <w:t xml:space="preserve">　　我們把光集中起來，變成激光、變成雷射，光可以穿透鋼板；散亂的光，一張紙都穿不透，一張紙都把它障礙掉了。心也是如此，能量太大太大，你把這個心集中一處念阿彌陀佛，古人所講的「一念相應一念佛，念念相應念念佛」，那一念跟阿彌陀佛直通，沒有障礙了。我們今天這個心散亂的，所以散亂心念佛，佛知道，我們不知道，我們不曉得佛知道。佛的身體，把身體比喻個發射台，它能接收又能夠向外發，遍法界虛空界所有一切眾生信息他全收到，不但人類的信息，樹木花草的信息、山河大地的信息統統收到。山河大地是物質，物質它振動都是波動現象，所以這個波微微一動周遍法界，他怎麼收不到！實際上我們這個身體也能收到，為什麼沒有感覺？收到了沒有感覺，我們這個機器故障了，是收到了，機器故障不起作用，壞了。為什麼壞了？貪瞋痴慢把它搞壞了，貪瞋痴慢叫三毒，這機器裡帶著嚴重的病毒，所以它不靈，道理在此地。　　</w:t>
      </w:r>
    </w:p>
    <w:sectPr w:rsidR="00EF3C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9AA69" w14:textId="77777777" w:rsidR="00EF3CEE" w:rsidRDefault="00EF3CEE" w:rsidP="001D5145">
      <w:r>
        <w:separator/>
      </w:r>
    </w:p>
  </w:endnote>
  <w:endnote w:type="continuationSeparator" w:id="0">
    <w:p w14:paraId="7172549D" w14:textId="77777777" w:rsidR="00EF3CEE" w:rsidRDefault="00EF3CEE" w:rsidP="001D5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7399C" w14:textId="77777777" w:rsidR="00EF3CEE" w:rsidRDefault="00EF3CEE" w:rsidP="001D5145">
      <w:r>
        <w:separator/>
      </w:r>
    </w:p>
  </w:footnote>
  <w:footnote w:type="continuationSeparator" w:id="0">
    <w:p w14:paraId="58FE292E" w14:textId="77777777" w:rsidR="00EF3CEE" w:rsidRDefault="00EF3CEE" w:rsidP="001D5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45"/>
    <w:rsid w:val="001D5145"/>
    <w:rsid w:val="00B519F4"/>
    <w:rsid w:val="00EF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CB2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1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1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1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1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