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37BC" w14:textId="77777777" w:rsidR="002F72C2" w:rsidRDefault="002F72C2">
      <w:r>
        <w:t>念佛的真實利益</w:t>
      </w:r>
      <w:r>
        <w:t>—</w:t>
      </w:r>
      <w:r>
        <w:t>依照《阿彌陀經》修行，就能修到純淨純善　　（第五二二集）　　恭錄自</w:t>
      </w:r>
      <w:r>
        <w:t xml:space="preserve"> </w:t>
      </w:r>
      <w:r>
        <w:t>淨空老法師《淨土大經解演義》　　檔名：</w:t>
      </w:r>
      <w:r>
        <w:t xml:space="preserve">29-506-0522 </w:t>
      </w:r>
    </w:p>
    <w:p w14:paraId="78150E78" w14:textId="77777777" w:rsidR="002F72C2" w:rsidRDefault="002F72C2">
      <w:pPr>
        <w:pStyle w:val="a3"/>
      </w:pPr>
      <w:r>
        <w:t xml:space="preserve">　　極樂世界染淨、苦樂統統都沒有了，全都放下了，所以他的業叫淨業，純淨純善。依照《阿彌陀經》修行，就能修到純淨純善，純淨純善所感的果報就是西方極樂世界。你有純淨純善的淨業，阿彌陀佛幫助你一把，與你的心願完全相應，現清淨身、清淨國土，幫助你在這個地方修行，成就圓滿的性德，證得妙覺的果位。我們自己不具這個條件，阿彌陀佛幫不上忙；佛能夠加持你的，是在你自己修德上增長一倍；你自己一點修德都沒有，他對你就一點辦法都沒有，幫不上忙。你有一分修德，加持一分；你有十分修德，他就加持你十分。阿彌陀佛決定沒有分別、沒有執著、沒有好惡，不是這個人我喜歡他，那個人我討厭他，沒有，佛沒有這種心。佛心是清淨平等覺，這是我們應該要學，必須要學。我們在日常生活當中，處事待人接物要歸到清淨平等覺，什麼清淨？天下本無事，什麼事都沒有，心就清淨。還有這個、還有那個，你怎麼能清淨得了？所以把這些、那些統統放下，決定不放在心上。</w:t>
      </w:r>
      <w:r>
        <w:t xml:space="preserve"> </w:t>
      </w:r>
    </w:p>
    <w:p w14:paraId="5AD9165E" w14:textId="77777777" w:rsidR="002F72C2" w:rsidRDefault="002F72C2">
      <w:pPr>
        <w:pStyle w:val="a3"/>
      </w:pPr>
      <w:r>
        <w:t xml:space="preserve">　　真念佛人，心裡只有一句阿彌陀佛，除阿彌陀佛什麼都沒有，清淨心現前了。看到一切人、一切事、一切物，統統都是阿彌陀佛，平等，清淨平等現前了。清淨平等哪有不覺的道理！清淨平等是自性本定，自性本有的般若智慧它就現前，智慧現前就叫做覺。我們能修到這個境界，能不往生嗎？不但決定往生，生到西方極樂世界是生實報莊嚴土，不是同居跟方便，不是。你說我們能做到嗎？能不能做到完全在你自己，你自己願意你就做到了，不願意那就很難。這個權不在別人，與任何人都不相干，與阿彌陀佛也不相干，完全在自己。那就是心裡只有阿彌陀佛，除阿彌陀佛，全都丟掉，這是你決定往生，而且決定往生凡聖同居土。下定決心之後，連這樁事情也不想，只想阿彌陀佛，只念阿彌陀佛，你到極樂世界果報自然現前。這個時候你才真正明白了，皆是一清淨句之流現，為什麼？你親眼看到，「超越世間」，經文上講「超世希有」。　　</w:t>
      </w:r>
    </w:p>
    <w:sectPr w:rsidR="002F72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EBD2" w14:textId="77777777" w:rsidR="002F72C2" w:rsidRDefault="002F72C2" w:rsidP="00A2063A">
      <w:r>
        <w:separator/>
      </w:r>
    </w:p>
  </w:endnote>
  <w:endnote w:type="continuationSeparator" w:id="0">
    <w:p w14:paraId="36B81925" w14:textId="77777777" w:rsidR="002F72C2" w:rsidRDefault="002F72C2" w:rsidP="00A20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D2368" w14:textId="77777777" w:rsidR="002F72C2" w:rsidRDefault="002F72C2" w:rsidP="00A2063A">
      <w:r>
        <w:separator/>
      </w:r>
    </w:p>
  </w:footnote>
  <w:footnote w:type="continuationSeparator" w:id="0">
    <w:p w14:paraId="6C85CD8E" w14:textId="77777777" w:rsidR="002F72C2" w:rsidRDefault="002F72C2" w:rsidP="00A20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3A"/>
    <w:rsid w:val="002F72C2"/>
    <w:rsid w:val="00A2063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8FE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6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6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6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6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