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1BEC" w14:textId="77777777" w:rsidR="00726EA1" w:rsidRDefault="00726EA1">
      <w:r>
        <w:t>念佛的真實利益</w:t>
      </w:r>
      <w:r>
        <w:t>—</w:t>
      </w:r>
      <w:r>
        <w:t>在極樂世界為什麼容易成就？　　（第五七八集）　　恭錄自</w:t>
      </w:r>
      <w:r>
        <w:t xml:space="preserve"> </w:t>
      </w:r>
      <w:r>
        <w:t>淨空老法師《淨土大經解演義》　　檔名：</w:t>
      </w:r>
      <w:r>
        <w:t xml:space="preserve">29-506-0578 </w:t>
      </w:r>
    </w:p>
    <w:p w14:paraId="0B1EF63E" w14:textId="77777777" w:rsidR="00726EA1" w:rsidRDefault="00726EA1">
      <w:pPr>
        <w:pStyle w:val="a3"/>
      </w:pPr>
      <w:r>
        <w:t xml:space="preserve">　　障礙就是放不下，放不下就是對於諸法實相不了解，總以為眼前這個樣樣是真的，西方極樂世界只聽說，沒見到，還有懷疑，這就需要經教來幫助。經典幫助我們，這一部《無量壽經》好！大經是夏蓮居老居士會集的，《解》是黃念祖，我們在一起學習，將學習的心得來分享，我們稱它作演義。這些都是幫助我們認識極樂世界，認識阿彌陀佛，也認識了娑婆世界。我們對這個法門，對這個一向專念的方法相信，深信不疑了，一心專念，決定求生淨土，其他想學的全放下，到極樂世界再學。喜歡這個東西都不要緊，暫時放下，先到極樂世界，到極樂世界有的是時間，有好老師、有好同學，同學當中有專門修學這個法門的，修心性的、修法相的、修唯識的，有專門的老師，我們才有能力找得到。</w:t>
      </w:r>
      <w:r>
        <w:t xml:space="preserve"> </w:t>
      </w:r>
    </w:p>
    <w:p w14:paraId="3DD96345" w14:textId="77777777" w:rsidR="00726EA1" w:rsidRDefault="00726EA1">
      <w:pPr>
        <w:pStyle w:val="a3"/>
      </w:pPr>
      <w:r>
        <w:t xml:space="preserve">　　學什麼都不妨礙，壽命長；不像這個地方壽命有限，以有限的壽命學無限的佛法，怎麼可能成就？沒法子成就。只有到極樂世界首先取得第一德，淨宗第一德就是無量壽，壽命長久，那你就有的是修學的時間。又何況在極樂世界就跟上學一樣，天天在課堂，時時在學習，真精進，他沒有中斷的時候。西方極樂世界沒有夜晚，因為那個世界是光明世界，不需要依靠日月。我們這個地球要依靠太陽，沒太陽就不行，地球的自轉就形成日夜，白天、晚上，白天工作，晚上休息，極樂世界沒有晚上，所以精進是不間斷的。極樂世界人不需要飲食，我們吃飯也中斷了，他不需要飲食。進那個學校就修習，畢業就成佛，成佛才離開極樂世界。我們想想，到什麼地方，能找到這麼好的一個修學環境、好老師？我們修學所需要的條件，那個地方是圓滿具足，一樣都不缺。回想到這個地方修學多麼辛苦，我們想一個清淨環境找不到，我們想修學的資料也找不到，指導的老師也找不到，同參道友也找不到，真苦！今天世尊、菩薩、祖師大德，告訴我們有這麼個好的去處，這個地方每個人都可以去，就怕你自己不肯去。你真肯去的話，人人都能夠生極樂世界，人人都能夠親近阿彌陀佛。阿彌陀佛把我們看成一家人，阿彌陀佛知道我們是一體，所以他對我們的愛護，</w:t>
      </w:r>
      <w:r>
        <w:t xml:space="preserve">對我們的關懷，對我們的教導，我們一點疑惑都沒有。完全放心，你就依靠他，對了，依靠他肯定成就。　　</w:t>
      </w:r>
    </w:p>
    <w:sectPr w:rsidR="00726E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077DD" w14:textId="77777777" w:rsidR="00726EA1" w:rsidRDefault="00726EA1" w:rsidP="00A5191F">
      <w:r>
        <w:separator/>
      </w:r>
    </w:p>
  </w:endnote>
  <w:endnote w:type="continuationSeparator" w:id="0">
    <w:p w14:paraId="5BA9C3CB" w14:textId="77777777" w:rsidR="00726EA1" w:rsidRDefault="00726EA1" w:rsidP="00A5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3E94" w14:textId="77777777" w:rsidR="00726EA1" w:rsidRDefault="00726EA1" w:rsidP="00A5191F">
      <w:r>
        <w:separator/>
      </w:r>
    </w:p>
  </w:footnote>
  <w:footnote w:type="continuationSeparator" w:id="0">
    <w:p w14:paraId="35CBA266" w14:textId="77777777" w:rsidR="00726EA1" w:rsidRDefault="00726EA1" w:rsidP="00A51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1F"/>
    <w:rsid w:val="00726EA1"/>
    <w:rsid w:val="00A519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F09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9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9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9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9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