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CC91" w14:textId="77777777" w:rsidR="00D42A58" w:rsidRDefault="00D42A58">
      <w:r>
        <w:t>念佛的真實利益</w:t>
      </w:r>
      <w:r>
        <w:t>—</w:t>
      </w:r>
      <w:r>
        <w:t>只要有信有願就肯定往生　　（第六Ｏ二集）　　恭錄自</w:t>
      </w:r>
      <w:r>
        <w:t xml:space="preserve"> </w:t>
      </w:r>
      <w:r>
        <w:t>淨空老法師《淨土大經解演義》　　檔名：</w:t>
      </w:r>
      <w:r>
        <w:t xml:space="preserve">29-506-0602 </w:t>
      </w:r>
    </w:p>
    <w:p w14:paraId="75639995" w14:textId="77777777" w:rsidR="00D42A58" w:rsidRDefault="00D42A58">
      <w:pPr>
        <w:pStyle w:val="a3"/>
      </w:pPr>
      <w:r>
        <w:t xml:space="preserve">　　「《圓中鈔》曰：真佛者，彌陀之應身也」，彌陀的應身。應是什麼？感應，眾生有感，佛就有應；有多少眾生感，佛就現多少應身。「化身則從應身，又變化其身，而來接引」，真的這種變化是重重無盡。佛能做得到，極樂世界菩薩統統能做到，為什麼？一生到極樂世界，四十八願第二十願裡面講，「皆作阿惟越致菩薩」，四十八願圓滿的加持你。我們什麼也沒修，阿彌陀佛能將他五劫，這是大劫，五大劫修行的成就統統加持你，統統給你去享受。所以生到西方極樂世界，你的智慧、神通、道力幾乎是跟阿彌陀佛一樣，他能做到的你也能做到，真不可思議。這個機會得來可不容易。極樂世界的真實狀況，佛講得很清楚，可惜現在宣傳還是不夠，知道的人還不多。這個地方確確實實，像善導大師所講的「萬修萬人去」，一個都不會少，不會漏掉。條件太簡單了，三個條件，真信、真願、真幹，這個真幹就是真念，你看就這麼簡單。</w:t>
      </w:r>
      <w:r>
        <w:t xml:space="preserve"> </w:t>
      </w:r>
    </w:p>
    <w:p w14:paraId="0907F134" w14:textId="77777777" w:rsidR="00D42A58" w:rsidRDefault="00D42A58">
      <w:pPr>
        <w:pStyle w:val="a3"/>
      </w:pPr>
      <w:r>
        <w:t xml:space="preserve">　　這一部《無量壽經》就是釋迦牟尼佛為我們介紹西方極樂世界，這個小冊子，講得非常詳細。特別是我們現在學的這兩章，二十四、二十五，「三輩往生」、「往生正因」，這兩章專門講怎麼個去法，跟我們講方法。最重要的一條就是發菩提心，一向專念阿彌陀佛，三輩九品統統都有這一條，這一條重要。什麼叫菩提心，前面講得很詳細，但是蕅益大師講得最好，我們最好懂。蕅益大師講什麼是菩提心？真正相信、真正想去，這個心就是無上菩提心。印光大師看到蕅益大師《要解》上這兩句話，讚歎到五體投地，講得太好了！他講的容易懂，沒有人會把它誤解。你說過去祖師大德講菩提心，至誠心、深心、迴向發願心，講了很多，沒聽懂，《起信論》裡面跟我們講直心、深心、大悲心也是不好懂；蕅益大師講的好懂，真相信、真想去，這就是菩提心。能不能往生，就決定在這個真信切願。蕅益大師講的，能不能往生，決定在信願之有無；往生到極樂世界，你的品位高下，那是你念佛功夫的淺深，他把它這樣分開了。我們完全明白了，只要有信有願就肯定往生，臨終念一聲佛號也往生。為什麼？他有深信切願。念佛功夫深的品位高，念佛功夫淺的品位低。　　</w:t>
      </w:r>
    </w:p>
    <w:sectPr w:rsidR="00D42A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B62B0" w14:textId="77777777" w:rsidR="00D42A58" w:rsidRDefault="00D42A58" w:rsidP="009D6CF2">
      <w:r>
        <w:separator/>
      </w:r>
    </w:p>
  </w:endnote>
  <w:endnote w:type="continuationSeparator" w:id="0">
    <w:p w14:paraId="592EBAED" w14:textId="77777777" w:rsidR="00D42A58" w:rsidRDefault="00D42A58" w:rsidP="009D6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160ED" w14:textId="77777777" w:rsidR="00D42A58" w:rsidRDefault="00D42A58" w:rsidP="009D6CF2">
      <w:r>
        <w:separator/>
      </w:r>
    </w:p>
  </w:footnote>
  <w:footnote w:type="continuationSeparator" w:id="0">
    <w:p w14:paraId="5945FB2B" w14:textId="77777777" w:rsidR="00D42A58" w:rsidRDefault="00D42A58" w:rsidP="009D6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F2"/>
    <w:rsid w:val="009D6CF2"/>
    <w:rsid w:val="00B519F4"/>
    <w:rsid w:val="00D4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E6A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C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C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C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C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