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F226" w14:textId="77777777" w:rsidR="00010CEB" w:rsidRDefault="00010CEB">
      <w:r>
        <w:t>念佛的真實利益</w:t>
      </w:r>
      <w:r>
        <w:t>—</w:t>
      </w:r>
      <w:r>
        <w:t>張善和惡人往生　　（第六Ｏ九集）　　恭錄自</w:t>
      </w:r>
      <w:r>
        <w:t xml:space="preserve"> </w:t>
      </w:r>
      <w:r>
        <w:t>淨空老法師《淨土大經解演義》　　檔名：</w:t>
      </w:r>
      <w:r>
        <w:t xml:space="preserve">29-506-0609 </w:t>
      </w:r>
    </w:p>
    <w:p w14:paraId="7E2E5D83" w14:textId="77777777" w:rsidR="00010CEB" w:rsidRDefault="00010CEB">
      <w:pPr>
        <w:pStyle w:val="a3"/>
      </w:pPr>
      <w:r>
        <w:t xml:space="preserve">　　《疏》裡頭這段文有解釋，後面是黃念老的解釋。「蓋謂《觀經》所示下品之人，臨終之時，地獄眾火，一時俱至，眾苦交逼。佛雖現前，但以神識不清，不甚明了，依稀彷彿，若在夢中，故云夢見彼佛也。若非有佛來迎者，焉能安閑有此十念，而隨佛神遊極樂也」，這個說法也說得好。這位念佛的人功夫也不錯，但是他造的業太重了，所以臨命終時見到地獄相。《淨土聖賢錄》、《往生傳》裡面記載的張善和，往生的時候就現這個相。張善和是個屠夫，殺牛為業，他一生殺多少牛。臨命終時，看到許許多多牛頭人向他索命，殺人要償命，欠債要還錢，這是地獄相現前，他大叫救命。這緣好，真不容易，有個出家人從他門口經過，聽到他喊救命，這個出家人就進去看看，什麼回事情？他就說他看到許許多多牛頭人問他索命。出家人立刻就知道了，告訴他，大聲念阿彌陀佛求生淨土。他這一念就轉過來了，他手上，給他一把香，拿著香就阿彌陀佛阿彌陀佛。念了幾聲，他告訴他，牛頭人不見了，阿彌陀佛來接引他，他往生極樂世界去了。是什麼品位？沒有人說，但是我們知道，他品位決定不低。為什麼？臨終一嚇，把他起心動念給嚇跑掉，分別執著也嚇跑掉了。如果這個時候的心沒有起心動念，那他就上輩往生，有起心動念，沒有分別執著，</w:t>
      </w:r>
      <w:r>
        <w:t>他中輩往生，他不在下輩。</w:t>
      </w:r>
      <w:r>
        <w:t xml:space="preserve"> </w:t>
      </w:r>
    </w:p>
    <w:p w14:paraId="53C67641" w14:textId="77777777" w:rsidR="00010CEB" w:rsidRDefault="00010CEB">
      <w:pPr>
        <w:pStyle w:val="a3"/>
      </w:pPr>
      <w:r>
        <w:t xml:space="preserve">　　這個緣，機率太少了，哪有這麼巧，正好叫救命，有一個出家人聽到，他真的就來幫助你，你真的就接受，就成就，一點懷疑都沒有。這種緣分，我們想來肯定是張善和過去生中曾經修過淨土法門，阿賴耶有善根種子。所以別人一提，他阿賴耶識的種子就現行，就成就了。因此我們知道，人往生西方淨土，品位高下是最後一念決定的。我們生前怎麼念，想想可能到哪個，但是未必，真正決定是最後一念。如果平常沒有修積大功德，那臨終一念不容易，平時不燒香，臨時抱佛腳，這是僥倖。實在講不是僥倖，張善和不是僥倖，宿世善根深厚，這一生當中沒有緣，沒有遇到。所以，他臨終也可以算得上非常瀟灑，一念、十念他就往生。「兩疏所辨雖異，但謂下輩往生，亦有佛來迎是一」。張善和說佛來迎接，這真正是造惡的典型，惡人往生。「殊途同歸，故並引徵，以證斯旨」，引這個來做證明。　　</w:t>
      </w:r>
    </w:p>
    <w:sectPr w:rsidR="00010C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D4FF9" w14:textId="77777777" w:rsidR="00010CEB" w:rsidRDefault="00010CEB" w:rsidP="002C7CC1">
      <w:r>
        <w:separator/>
      </w:r>
    </w:p>
  </w:endnote>
  <w:endnote w:type="continuationSeparator" w:id="0">
    <w:p w14:paraId="65BAF55F" w14:textId="77777777" w:rsidR="00010CEB" w:rsidRDefault="00010CEB" w:rsidP="002C7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39C2" w14:textId="77777777" w:rsidR="00010CEB" w:rsidRDefault="00010CEB" w:rsidP="002C7CC1">
      <w:r>
        <w:separator/>
      </w:r>
    </w:p>
  </w:footnote>
  <w:footnote w:type="continuationSeparator" w:id="0">
    <w:p w14:paraId="0D0682A8" w14:textId="77777777" w:rsidR="00010CEB" w:rsidRDefault="00010CEB" w:rsidP="002C7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C1"/>
    <w:rsid w:val="00010CEB"/>
    <w:rsid w:val="002C7C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A21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C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C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C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C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