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2198" w14:textId="77777777" w:rsidR="000D2F35" w:rsidRDefault="000D2F35">
      <w:r>
        <w:t>念佛的真實利益</w:t>
      </w:r>
      <w:r>
        <w:t>—</w:t>
      </w:r>
      <w:r>
        <w:t>往生必須具備的核心　　（第六一八集）　　恭錄自</w:t>
      </w:r>
      <w:r>
        <w:t xml:space="preserve"> </w:t>
      </w:r>
      <w:r>
        <w:t>淨空老法師《淨土大經解演義》　　檔名：</w:t>
      </w:r>
      <w:r>
        <w:t xml:space="preserve">29-506-0618 </w:t>
      </w:r>
    </w:p>
    <w:p w14:paraId="20408EED" w14:textId="77777777" w:rsidR="000D2F35" w:rsidRDefault="000D2F35">
      <w:pPr>
        <w:pStyle w:val="a3"/>
      </w:pPr>
      <w:r>
        <w:t xml:space="preserve">　　「其人不專修淨土，如智者、永明之類」。實在講，智者跟永明他們都真修。智者大師是依《十六觀經》修行，他往生的時候是用觀想念佛往生的，永明延壽是持名念佛往生的。這兩個例子舉得不太好。「此論所見，更上層樓」，可惜就是舉的例子不妥當。「蓋經云住大乘者」，這幾句話重要，「其心清淨」，這些修行大乘的人，最後迴向往生淨土，他能夠生的條件是什麼？就是其心清淨，這一句是往生必須具備的核心。經論上講得很多，心淨則佛土淨，清淨心多重要！無論修哪個法門，乃至於什麼宗教都不信，一個讀傳統儒家這些書的人，讀四書五經的人，能夠堅守五倫五常、四維八德，世間善法。心地清淨，臨終有人勸他念佛求生淨土，他要一下相信、接受了，必定能生。為什麼？清淨心，他臨終的一念十念是清淨心念的，這個決定得生。修學其他宗教，其他宗教裡有聖人也有賢人，不能輕視。他們得到清淨心了，要是知道淨宗法門，有緣遇到，他將他自己的功德迴向求生淨土，清淨心念佛，臨終一念十念決定得生。這叫一心三輩。要知道，一心三輩不是一心下輩，這樣才真正能夠符合善導大師所說的，「四土三輩九品，總在遇緣不同」，這才能講得通。基督徒有沒有可能上品上生？有可能，總在遇緣不同。</w:t>
      </w:r>
      <w:r>
        <w:t xml:space="preserve"> </w:t>
      </w:r>
    </w:p>
    <w:p w14:paraId="67B7D13E" w14:textId="77777777" w:rsidR="000D2F35" w:rsidRDefault="000D2F35">
      <w:pPr>
        <w:pStyle w:val="a3"/>
      </w:pPr>
      <w:r>
        <w:t xml:space="preserve">　　阿彌陀佛太偉大了，西方極樂世界太殊勝了，無論修學哪個法門，只要修到清淨心，你仰慕極樂世界，想往生見阿彌陀佛統統可能。阿彌陀佛沒有門戶之見，阿彌陀佛心包太虛、量周沙界，五逆十惡，懺悔、回心向善都能往生。真的，孔子所謂「成事不說，遂事不諫，既往不咎」，只要你能回頭，只要你能改過就行了，你就是大善人。中國諺語所謂「浪子回頭金不換」，惡人懺悔變成善人，善中之善，他往生亦有可能上品上生。　　</w:t>
      </w:r>
    </w:p>
    <w:sectPr w:rsidR="000D2F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6793A" w14:textId="77777777" w:rsidR="000D2F35" w:rsidRDefault="000D2F35" w:rsidP="00DE02BE">
      <w:r>
        <w:separator/>
      </w:r>
    </w:p>
  </w:endnote>
  <w:endnote w:type="continuationSeparator" w:id="0">
    <w:p w14:paraId="403F8D6A" w14:textId="77777777" w:rsidR="000D2F35" w:rsidRDefault="000D2F35" w:rsidP="00DE0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A58E4" w14:textId="77777777" w:rsidR="000D2F35" w:rsidRDefault="000D2F35" w:rsidP="00DE02BE">
      <w:r>
        <w:separator/>
      </w:r>
    </w:p>
  </w:footnote>
  <w:footnote w:type="continuationSeparator" w:id="0">
    <w:p w14:paraId="351319C9" w14:textId="77777777" w:rsidR="000D2F35" w:rsidRDefault="000D2F35" w:rsidP="00DE02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2BE"/>
    <w:rsid w:val="000D2F35"/>
    <w:rsid w:val="00B519F4"/>
    <w:rsid w:val="00D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23C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02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02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02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02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